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06" w:rsidRDefault="001B4B06">
      <w:pPr>
        <w:pStyle w:val="Listeafsnit"/>
        <w:ind w:left="360"/>
        <w:jc w:val="center"/>
        <w:rPr>
          <w:rFonts w:ascii="Helvetica" w:hAnsi="Helvetica" w:cs="Helvetica"/>
          <w:b/>
          <w:sz w:val="32"/>
          <w:szCs w:val="32"/>
        </w:rPr>
      </w:pPr>
    </w:p>
    <w:p w:rsidR="001B4B06" w:rsidRDefault="005C5378">
      <w:pPr>
        <w:pStyle w:val="Listeafsnit"/>
        <w:ind w:left="360"/>
        <w:jc w:val="center"/>
        <w:rPr>
          <w:rFonts w:ascii="Helvetica" w:hAnsi="Helvetica" w:cs="Helvetica"/>
          <w:sz w:val="32"/>
          <w:szCs w:val="32"/>
        </w:rPr>
      </w:pPr>
      <w:r w:rsidRPr="00C00B73">
        <w:rPr>
          <w:rFonts w:ascii="Helvetica" w:hAnsi="Helvetica" w:cs="Helvetica"/>
          <w:b/>
          <w:sz w:val="32"/>
          <w:szCs w:val="32"/>
        </w:rPr>
        <w:t xml:space="preserve">Vejledning til </w:t>
      </w:r>
      <w:r w:rsidR="008C39E3">
        <w:rPr>
          <w:rFonts w:ascii="Helvetica" w:hAnsi="Helvetica" w:cs="Helvetica"/>
          <w:b/>
          <w:sz w:val="32"/>
          <w:szCs w:val="32"/>
        </w:rPr>
        <w:t>plade</w:t>
      </w:r>
      <w:r w:rsidRPr="00C00B73">
        <w:rPr>
          <w:rFonts w:ascii="Helvetica" w:hAnsi="Helvetica" w:cs="Helvetica"/>
          <w:b/>
          <w:sz w:val="32"/>
          <w:szCs w:val="32"/>
        </w:rPr>
        <w:t xml:space="preserve">selskaber </w:t>
      </w:r>
      <w:r w:rsidR="00B414CE">
        <w:rPr>
          <w:rFonts w:ascii="Helvetica" w:hAnsi="Helvetica" w:cs="Helvetica"/>
          <w:b/>
          <w:sz w:val="32"/>
          <w:szCs w:val="32"/>
        </w:rPr>
        <w:t>om</w:t>
      </w:r>
      <w:r w:rsidRPr="00C00B73">
        <w:rPr>
          <w:rFonts w:ascii="Helvetica" w:hAnsi="Helvetica" w:cs="Helvetica"/>
          <w:b/>
          <w:sz w:val="32"/>
          <w:szCs w:val="32"/>
        </w:rPr>
        <w:t xml:space="preserve"> 20 pct.</w:t>
      </w:r>
      <w:r w:rsidR="00C91442">
        <w:rPr>
          <w:rFonts w:ascii="Helvetica" w:hAnsi="Helvetica" w:cs="Helvetica"/>
          <w:b/>
          <w:sz w:val="32"/>
          <w:szCs w:val="32"/>
        </w:rPr>
        <w:t>-</w:t>
      </w:r>
      <w:r w:rsidRPr="00C00B73">
        <w:rPr>
          <w:rFonts w:ascii="Helvetica" w:hAnsi="Helvetica" w:cs="Helvetica"/>
          <w:b/>
          <w:sz w:val="32"/>
          <w:szCs w:val="32"/>
        </w:rPr>
        <w:t>puljen</w:t>
      </w:r>
    </w:p>
    <w:p w:rsidR="001B4B06" w:rsidRDefault="001B4B06">
      <w:pPr>
        <w:rPr>
          <w:rFonts w:ascii="Helvetica" w:hAnsi="Helvetica" w:cs="Helvetica"/>
          <w:sz w:val="24"/>
          <w:szCs w:val="24"/>
        </w:rPr>
      </w:pPr>
    </w:p>
    <w:p w:rsidR="001B4B06" w:rsidRDefault="002D7C37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 w:rsidRPr="00F97984">
        <w:rPr>
          <w:rFonts w:ascii="Helvetica" w:hAnsi="Helvetica" w:cs="Helvetica"/>
          <w:b/>
        </w:rPr>
        <w:t>Baggrund</w:t>
      </w:r>
    </w:p>
    <w:p w:rsidR="000B68CE" w:rsidRPr="00F97984" w:rsidRDefault="00B02009" w:rsidP="00B71246">
      <w:pPr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Forrige</w:t>
      </w:r>
      <w:r w:rsidR="002D7C37" w:rsidRPr="00F97984">
        <w:rPr>
          <w:rFonts w:ascii="Helvetica" w:hAnsi="Helvetica" w:cs="Helvetica"/>
        </w:rPr>
        <w:t xml:space="preserve"> år vedtog Folketinget en ændring af ophavsretsloven, der udvider beskyttelsestiden </w:t>
      </w:r>
      <w:r w:rsidR="00991397">
        <w:rPr>
          <w:rFonts w:ascii="Helvetica" w:hAnsi="Helvetica" w:cs="Helvetica"/>
        </w:rPr>
        <w:t>på</w:t>
      </w:r>
      <w:r w:rsidR="002D7C37" w:rsidRPr="00F97984">
        <w:rPr>
          <w:rFonts w:ascii="Helvetica" w:hAnsi="Helvetica" w:cs="Helvetica"/>
        </w:rPr>
        <w:t xml:space="preserve"> lydoptagelser fra 50 til 70 år.</w:t>
      </w:r>
      <w:r w:rsidR="00BE7022" w:rsidRPr="00BE7022">
        <w:rPr>
          <w:rStyle w:val="Fodnotehenvisning"/>
          <w:rFonts w:ascii="Helvetica" w:hAnsi="Helvetica" w:cs="Helvetica"/>
        </w:rPr>
        <w:t xml:space="preserve"> </w:t>
      </w:r>
      <w:r w:rsidR="00BE7022" w:rsidRPr="00F97984">
        <w:rPr>
          <w:rStyle w:val="Fodnotehenvisning"/>
          <w:rFonts w:ascii="Helvetica" w:hAnsi="Helvetica" w:cs="Helvetica"/>
        </w:rPr>
        <w:footnoteReference w:id="1"/>
      </w:r>
      <w:r w:rsidR="002D7C37" w:rsidRPr="00F97984">
        <w:rPr>
          <w:rFonts w:ascii="Helvetica" w:hAnsi="Helvetica" w:cs="Helvetica"/>
        </w:rPr>
        <w:t xml:space="preserve"> </w:t>
      </w:r>
      <w:r w:rsidR="000B68CE" w:rsidRPr="00F97984">
        <w:rPr>
          <w:rFonts w:ascii="Helvetica" w:hAnsi="Helvetica" w:cs="Helvetica"/>
        </w:rPr>
        <w:t xml:space="preserve">Lovændringen er gældende fra 2013, hvilket vil sige at </w:t>
      </w:r>
      <w:r w:rsidR="00C16B6A">
        <w:rPr>
          <w:rFonts w:ascii="Helvetica" w:hAnsi="Helvetica" w:cs="Helvetica"/>
        </w:rPr>
        <w:t xml:space="preserve">indspilninger som er indspillet efter 1962 </w:t>
      </w:r>
      <w:r w:rsidR="000B68CE" w:rsidRPr="00F97984">
        <w:rPr>
          <w:rFonts w:ascii="Helvetica" w:hAnsi="Helvetica" w:cs="Helvetica"/>
        </w:rPr>
        <w:t>fremadrettet vil have en beskyttelsestid på 70 år.</w:t>
      </w:r>
    </w:p>
    <w:p w:rsidR="00AA34D8" w:rsidRPr="00F97984" w:rsidRDefault="00AA34D8" w:rsidP="00B71246">
      <w:pPr>
        <w:rPr>
          <w:rFonts w:ascii="Helvetica" w:hAnsi="Helvetica" w:cs="Helvetica"/>
        </w:rPr>
      </w:pPr>
    </w:p>
    <w:p w:rsidR="00AA34D8" w:rsidRPr="00F97984" w:rsidRDefault="00AA34D8" w:rsidP="00B71246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 w:rsidRPr="00F97984">
        <w:rPr>
          <w:rFonts w:ascii="Helvetica" w:hAnsi="Helvetica" w:cs="Helvetica"/>
          <w:b/>
        </w:rPr>
        <w:t>20 pct.</w:t>
      </w:r>
      <w:r w:rsidR="00C91442">
        <w:rPr>
          <w:rFonts w:ascii="Helvetica" w:hAnsi="Helvetica" w:cs="Helvetica"/>
          <w:b/>
        </w:rPr>
        <w:t>-</w:t>
      </w:r>
      <w:r w:rsidRPr="00F97984">
        <w:rPr>
          <w:rFonts w:ascii="Helvetica" w:hAnsi="Helvetica" w:cs="Helvetica"/>
          <w:b/>
        </w:rPr>
        <w:t>pulje</w:t>
      </w:r>
      <w:r w:rsidR="00BA4D3B" w:rsidRPr="00F97984">
        <w:rPr>
          <w:rFonts w:ascii="Helvetica" w:hAnsi="Helvetica" w:cs="Helvetica"/>
          <w:b/>
        </w:rPr>
        <w:t>n</w:t>
      </w:r>
    </w:p>
    <w:p w:rsidR="00BE0876" w:rsidRPr="00F00D29" w:rsidRDefault="00BA4D3B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 xml:space="preserve">Som led i </w:t>
      </w:r>
      <w:r w:rsidR="009F6793" w:rsidRPr="00F00D29">
        <w:rPr>
          <w:rFonts w:ascii="Helvetica" w:hAnsi="Helvetica" w:cs="Helvetica"/>
        </w:rPr>
        <w:t xml:space="preserve">ændringen </w:t>
      </w:r>
      <w:r w:rsidRPr="00F00D29">
        <w:rPr>
          <w:rFonts w:ascii="Helvetica" w:hAnsi="Helvetica" w:cs="Helvetica"/>
        </w:rPr>
        <w:t xml:space="preserve">er der blevet indført en ny ordning, som betyder, </w:t>
      </w:r>
      <w:r w:rsidR="00FA4972" w:rsidRPr="00F00D29">
        <w:rPr>
          <w:rFonts w:ascii="Helvetica" w:hAnsi="Helvetica" w:cs="Helvetica"/>
        </w:rPr>
        <w:t xml:space="preserve">at </w:t>
      </w:r>
      <w:r w:rsidR="00B414CE" w:rsidRPr="00F00D29">
        <w:rPr>
          <w:rFonts w:ascii="Helvetica" w:hAnsi="Helvetica" w:cs="Helvetica"/>
        </w:rPr>
        <w:t>plade</w:t>
      </w:r>
      <w:r w:rsidR="00FA4972" w:rsidRPr="00F00D29">
        <w:rPr>
          <w:rFonts w:ascii="Helvetica" w:hAnsi="Helvetica" w:cs="Helvetica"/>
        </w:rPr>
        <w:t>selskaber</w:t>
      </w:r>
      <w:r w:rsidR="009F6793" w:rsidRPr="00F00D29">
        <w:rPr>
          <w:rFonts w:ascii="Helvetica" w:hAnsi="Helvetica" w:cs="Helvetica"/>
        </w:rPr>
        <w:t xml:space="preserve"> </w:t>
      </w:r>
      <w:r w:rsidR="00B414CE" w:rsidRPr="00F00D29">
        <w:rPr>
          <w:rFonts w:ascii="Helvetica" w:hAnsi="Helvetica" w:cs="Helvetica"/>
        </w:rPr>
        <w:t>(også kaldet musikselsk</w:t>
      </w:r>
      <w:r w:rsidR="0083672A" w:rsidRPr="00F00D29">
        <w:rPr>
          <w:rFonts w:ascii="Helvetica" w:hAnsi="Helvetica" w:cs="Helvetica"/>
        </w:rPr>
        <w:t>aber, producenter, fremstillere</w:t>
      </w:r>
      <w:r w:rsidR="00B414CE" w:rsidRPr="00F00D29">
        <w:rPr>
          <w:rFonts w:ascii="Helvetica" w:hAnsi="Helvetica" w:cs="Helvetica"/>
        </w:rPr>
        <w:t>)</w:t>
      </w:r>
      <w:r w:rsidR="009F6793" w:rsidRPr="00F00D29">
        <w:rPr>
          <w:rFonts w:ascii="Helvetica" w:hAnsi="Helvetica" w:cs="Helvetica"/>
        </w:rPr>
        <w:t xml:space="preserve"> skal hensætte 20 pct. af </w:t>
      </w:r>
      <w:r w:rsidR="00B414CE" w:rsidRPr="00F00D29">
        <w:rPr>
          <w:rFonts w:ascii="Helvetica" w:hAnsi="Helvetica" w:cs="Helvetica"/>
        </w:rPr>
        <w:t>distributions</w:t>
      </w:r>
      <w:r w:rsidR="009F6793" w:rsidRPr="00F00D29">
        <w:rPr>
          <w:rFonts w:ascii="Helvetica" w:hAnsi="Helvetica" w:cs="Helvetica"/>
        </w:rPr>
        <w:t xml:space="preserve">indtægterne </w:t>
      </w:r>
      <w:r w:rsidR="00B02009" w:rsidRPr="00F00D29">
        <w:rPr>
          <w:rFonts w:ascii="Helvetica" w:hAnsi="Helvetica" w:cs="Helvetica"/>
        </w:rPr>
        <w:t>i 201</w:t>
      </w:r>
      <w:r w:rsidR="00C16B6A" w:rsidRPr="00F00D29">
        <w:rPr>
          <w:rFonts w:ascii="Helvetica" w:hAnsi="Helvetica" w:cs="Helvetica"/>
        </w:rPr>
        <w:t>6</w:t>
      </w:r>
      <w:r w:rsidR="00B02009" w:rsidRPr="00F00D29">
        <w:rPr>
          <w:rFonts w:ascii="Helvetica" w:hAnsi="Helvetica" w:cs="Helvetica"/>
        </w:rPr>
        <w:t xml:space="preserve"> </w:t>
      </w:r>
      <w:r w:rsidR="009F6793" w:rsidRPr="00F00D29">
        <w:rPr>
          <w:rFonts w:ascii="Helvetica" w:hAnsi="Helvetica" w:cs="Helvetica"/>
        </w:rPr>
        <w:t xml:space="preserve">fra </w:t>
      </w:r>
      <w:r w:rsidR="00991397" w:rsidRPr="00F00D29">
        <w:rPr>
          <w:rFonts w:ascii="Helvetica" w:hAnsi="Helvetica" w:cs="Helvetica"/>
        </w:rPr>
        <w:t>udgivelser</w:t>
      </w:r>
      <w:r w:rsidR="009F6793" w:rsidRPr="00F00D29">
        <w:rPr>
          <w:rFonts w:ascii="Helvetica" w:hAnsi="Helvetica" w:cs="Helvetica"/>
        </w:rPr>
        <w:t xml:space="preserve">, </w:t>
      </w:r>
      <w:r w:rsidR="005B7D83" w:rsidRPr="00F00D29">
        <w:rPr>
          <w:rFonts w:ascii="Helvetica" w:hAnsi="Helvetica" w:cs="Helvetica"/>
        </w:rPr>
        <w:t xml:space="preserve">der er </w:t>
      </w:r>
      <w:r w:rsidR="009F6793" w:rsidRPr="00F00D29">
        <w:rPr>
          <w:rFonts w:ascii="Helvetica" w:hAnsi="Helvetica" w:cs="Helvetica"/>
        </w:rPr>
        <w:t>udgivet mellem 1. januar 1963 til og med 31. december 196</w:t>
      </w:r>
      <w:r w:rsidR="00C16B6A" w:rsidRPr="00F00D29">
        <w:rPr>
          <w:rFonts w:ascii="Helvetica" w:hAnsi="Helvetica" w:cs="Helvetica"/>
        </w:rPr>
        <w:t>5</w:t>
      </w:r>
      <w:r w:rsidRPr="00F00D29">
        <w:rPr>
          <w:rFonts w:ascii="Helvetica" w:hAnsi="Helvetica" w:cs="Helvetica"/>
        </w:rPr>
        <w:t>,</w:t>
      </w:r>
      <w:r w:rsidR="005B7D83" w:rsidRPr="00F00D29">
        <w:rPr>
          <w:rFonts w:ascii="Helvetica" w:hAnsi="Helvetica" w:cs="Helvetica"/>
        </w:rPr>
        <w:t xml:space="preserve"> og</w:t>
      </w:r>
      <w:r w:rsidRPr="00F00D29">
        <w:rPr>
          <w:rFonts w:ascii="Helvetica" w:hAnsi="Helvetica" w:cs="Helvetica"/>
        </w:rPr>
        <w:t xml:space="preserve"> hvor der har medvirket kunstnere på engangshonorar</w:t>
      </w:r>
      <w:r w:rsidR="0083672A" w:rsidRPr="00F00D29">
        <w:rPr>
          <w:rFonts w:ascii="Helvetica" w:hAnsi="Helvetica" w:cs="Helvetica"/>
        </w:rPr>
        <w:t xml:space="preserve"> (ofte kaldet </w:t>
      </w:r>
      <w:r w:rsidR="00991397" w:rsidRPr="00F00D29">
        <w:rPr>
          <w:rFonts w:ascii="Helvetica" w:hAnsi="Helvetica" w:cs="Helvetica"/>
        </w:rPr>
        <w:t xml:space="preserve">session- eller </w:t>
      </w:r>
      <w:r w:rsidR="0083672A" w:rsidRPr="00F00D29">
        <w:rPr>
          <w:rFonts w:ascii="Helvetica" w:hAnsi="Helvetica" w:cs="Helvetica"/>
        </w:rPr>
        <w:t>studiemusikere)</w:t>
      </w:r>
      <w:r w:rsidRPr="00F00D29">
        <w:rPr>
          <w:rFonts w:ascii="Helvetica" w:hAnsi="Helvetica" w:cs="Helvetica"/>
        </w:rPr>
        <w:t>.</w:t>
      </w:r>
      <w:r w:rsidR="009F6793" w:rsidRPr="00F00D29">
        <w:rPr>
          <w:rFonts w:ascii="Helvetica" w:hAnsi="Helvetica" w:cs="Helvetica"/>
        </w:rPr>
        <w:t xml:space="preserve"> </w:t>
      </w:r>
    </w:p>
    <w:p w:rsidR="000B6AF2" w:rsidRPr="00F00D29" w:rsidRDefault="000B6AF2">
      <w:pPr>
        <w:ind w:left="360"/>
        <w:rPr>
          <w:rFonts w:ascii="Helvetica" w:hAnsi="Helvetica" w:cs="Helvetica"/>
        </w:rPr>
      </w:pPr>
    </w:p>
    <w:p w:rsidR="00BE0876" w:rsidRPr="00F00D29" w:rsidRDefault="005F24BC">
      <w:pPr>
        <w:ind w:left="360"/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 xml:space="preserve">Der </w:t>
      </w:r>
      <w:r w:rsidR="00991397" w:rsidRPr="00F00D29">
        <w:rPr>
          <w:rFonts w:ascii="Helvetica" w:hAnsi="Helvetica" w:cs="Helvetica"/>
        </w:rPr>
        <w:t>er</w:t>
      </w:r>
      <w:r w:rsidRPr="00F00D29">
        <w:rPr>
          <w:rFonts w:ascii="Helvetica" w:hAnsi="Helvetica" w:cs="Helvetica"/>
        </w:rPr>
        <w:t xml:space="preserve"> således oprette</w:t>
      </w:r>
      <w:r w:rsidR="00991397" w:rsidRPr="00F00D29">
        <w:rPr>
          <w:rFonts w:ascii="Helvetica" w:hAnsi="Helvetica" w:cs="Helvetica"/>
        </w:rPr>
        <w:t>t</w:t>
      </w:r>
      <w:r w:rsidRPr="00F00D29">
        <w:rPr>
          <w:rFonts w:ascii="Helvetica" w:hAnsi="Helvetica" w:cs="Helvetica"/>
        </w:rPr>
        <w:t xml:space="preserve"> en pulje (20 pct.</w:t>
      </w:r>
      <w:r w:rsidR="0083672A" w:rsidRPr="00F00D29">
        <w:rPr>
          <w:rFonts w:ascii="Helvetica" w:hAnsi="Helvetica" w:cs="Helvetica"/>
        </w:rPr>
        <w:t>-</w:t>
      </w:r>
      <w:r w:rsidRPr="00F00D29">
        <w:rPr>
          <w:rFonts w:ascii="Helvetica" w:hAnsi="Helvetica" w:cs="Helvetica"/>
        </w:rPr>
        <w:t xml:space="preserve">puljen), hvor </w:t>
      </w:r>
      <w:r w:rsidR="00B414CE" w:rsidRPr="00F00D29">
        <w:rPr>
          <w:rFonts w:ascii="Helvetica" w:hAnsi="Helvetica" w:cs="Helvetica"/>
        </w:rPr>
        <w:t>plade</w:t>
      </w:r>
      <w:r w:rsidRPr="00F00D29">
        <w:rPr>
          <w:rFonts w:ascii="Helvetica" w:hAnsi="Helvetica" w:cs="Helvetica"/>
        </w:rPr>
        <w:t>selskaber</w:t>
      </w:r>
      <w:r w:rsidR="00991397" w:rsidRPr="00F00D29">
        <w:rPr>
          <w:rFonts w:ascii="Helvetica" w:hAnsi="Helvetica" w:cs="Helvetica"/>
        </w:rPr>
        <w:t>nes hensættelser skal indbetales. Kulturministeriet h</w:t>
      </w:r>
      <w:r w:rsidR="00024FD7" w:rsidRPr="00F00D29">
        <w:rPr>
          <w:rFonts w:ascii="Helvetica" w:hAnsi="Helvetica" w:cs="Helvetica"/>
        </w:rPr>
        <w:t>ar peget på Gramex som den organisation, der skal administrere</w:t>
      </w:r>
      <w:r w:rsidR="00B414CE" w:rsidRPr="00F00D29">
        <w:rPr>
          <w:rFonts w:ascii="Helvetica" w:hAnsi="Helvetica" w:cs="Helvetica"/>
        </w:rPr>
        <w:t>, indhente</w:t>
      </w:r>
      <w:r w:rsidR="00024FD7" w:rsidRPr="00F00D29">
        <w:rPr>
          <w:rFonts w:ascii="Helvetica" w:hAnsi="Helvetica" w:cs="Helvetica"/>
        </w:rPr>
        <w:t xml:space="preserve"> og udbetale vederlag til de udøvende kunstnere fra </w:t>
      </w:r>
      <w:r w:rsidR="00B414CE" w:rsidRPr="00F00D29">
        <w:rPr>
          <w:rFonts w:ascii="Helvetica" w:hAnsi="Helvetica" w:cs="Helvetica"/>
        </w:rPr>
        <w:t>plade</w:t>
      </w:r>
      <w:r w:rsidR="00024FD7" w:rsidRPr="00F00D29">
        <w:rPr>
          <w:rFonts w:ascii="Helvetica" w:hAnsi="Helvetica" w:cs="Helvetica"/>
        </w:rPr>
        <w:t>selskabernes hensættelser til 20 pct.</w:t>
      </w:r>
      <w:r w:rsidR="0083672A" w:rsidRPr="00F00D29">
        <w:rPr>
          <w:rFonts w:ascii="Helvetica" w:hAnsi="Helvetica" w:cs="Helvetica"/>
        </w:rPr>
        <w:t>-</w:t>
      </w:r>
      <w:r w:rsidR="00024FD7" w:rsidRPr="00F00D29">
        <w:rPr>
          <w:rFonts w:ascii="Helvetica" w:hAnsi="Helvetica" w:cs="Helvetica"/>
        </w:rPr>
        <w:t>puljen.</w:t>
      </w:r>
    </w:p>
    <w:p w:rsidR="00BE0876" w:rsidRPr="00F00D29" w:rsidRDefault="00BE0876">
      <w:pPr>
        <w:ind w:left="360"/>
        <w:rPr>
          <w:rFonts w:ascii="Helvetica" w:hAnsi="Helvetica" w:cs="Helvetica"/>
        </w:rPr>
      </w:pPr>
    </w:p>
    <w:p w:rsidR="00BE0876" w:rsidRPr="00F00D29" w:rsidRDefault="006723F8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 w:rsidRPr="00F00D29">
        <w:rPr>
          <w:rFonts w:ascii="Helvetica" w:hAnsi="Helvetica" w:cs="Helvetica"/>
          <w:b/>
        </w:rPr>
        <w:t>Hvem er omfattet af ordningen?</w:t>
      </w:r>
    </w:p>
    <w:p w:rsidR="00BE0876" w:rsidRPr="00F00D29" w:rsidRDefault="0094709B">
      <w:pPr>
        <w:pStyle w:val="Listeafsnit"/>
        <w:ind w:left="360"/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 xml:space="preserve">Ordningen vil som udgangspunkt omfatte alle </w:t>
      </w:r>
      <w:r w:rsidR="00B414CE" w:rsidRPr="00F00D29">
        <w:rPr>
          <w:rFonts w:ascii="Helvetica" w:hAnsi="Helvetica" w:cs="Helvetica"/>
        </w:rPr>
        <w:t>plade</w:t>
      </w:r>
      <w:r w:rsidRPr="00F00D29">
        <w:rPr>
          <w:rFonts w:ascii="Helvetica" w:hAnsi="Helvetica" w:cs="Helvetica"/>
        </w:rPr>
        <w:t xml:space="preserve">selskaber i EU. For Gramex’ vedkommende vil </w:t>
      </w:r>
      <w:r w:rsidR="009D05C2" w:rsidRPr="00F00D29">
        <w:rPr>
          <w:rFonts w:ascii="Helvetica" w:hAnsi="Helvetica" w:cs="Helvetica"/>
        </w:rPr>
        <w:t xml:space="preserve">ordningen </w:t>
      </w:r>
      <w:r w:rsidRPr="00F00D29">
        <w:rPr>
          <w:rFonts w:ascii="Helvetica" w:hAnsi="Helvetica" w:cs="Helvetica"/>
        </w:rPr>
        <w:t xml:space="preserve">gælde alle </w:t>
      </w:r>
      <w:r w:rsidR="00B414CE" w:rsidRPr="00F00D29">
        <w:rPr>
          <w:rFonts w:ascii="Helvetica" w:hAnsi="Helvetica" w:cs="Helvetica"/>
        </w:rPr>
        <w:t>plade</w:t>
      </w:r>
      <w:r w:rsidRPr="00F00D29">
        <w:rPr>
          <w:rFonts w:ascii="Helvetica" w:hAnsi="Helvetica" w:cs="Helvetica"/>
        </w:rPr>
        <w:t>selskaber med forretningsadresse i Danmark</w:t>
      </w:r>
      <w:r w:rsidR="009D05C2" w:rsidRPr="00F00D29">
        <w:rPr>
          <w:rFonts w:ascii="Helvetica" w:hAnsi="Helvetica" w:cs="Helvetica"/>
        </w:rPr>
        <w:t xml:space="preserve"> og de </w:t>
      </w:r>
      <w:r w:rsidR="005B5F9B" w:rsidRPr="00F00D29">
        <w:rPr>
          <w:rFonts w:ascii="Helvetica" w:hAnsi="Helvetica" w:cs="Helvetica"/>
        </w:rPr>
        <w:t xml:space="preserve">udgivelser fra </w:t>
      </w:r>
      <w:r w:rsidR="009D05C2" w:rsidRPr="00F00D29">
        <w:rPr>
          <w:rFonts w:ascii="Helvetica" w:hAnsi="Helvetica" w:cs="Helvetica"/>
        </w:rPr>
        <w:t>1963</w:t>
      </w:r>
      <w:r w:rsidR="002A786C" w:rsidRPr="00F00D29">
        <w:rPr>
          <w:rFonts w:ascii="Helvetica" w:hAnsi="Helvetica" w:cs="Helvetica"/>
        </w:rPr>
        <w:t>-</w:t>
      </w:r>
      <w:r w:rsidR="00B02009" w:rsidRPr="00F00D29">
        <w:rPr>
          <w:rFonts w:ascii="Helvetica" w:hAnsi="Helvetica" w:cs="Helvetica"/>
        </w:rPr>
        <w:t>196</w:t>
      </w:r>
      <w:r w:rsidR="00C16B6A" w:rsidRPr="00F00D29">
        <w:rPr>
          <w:rFonts w:ascii="Helvetica" w:hAnsi="Helvetica" w:cs="Helvetica"/>
        </w:rPr>
        <w:t>5</w:t>
      </w:r>
      <w:r w:rsidR="009D05C2" w:rsidRPr="00F00D29">
        <w:rPr>
          <w:rFonts w:ascii="Helvetica" w:hAnsi="Helvetica" w:cs="Helvetica"/>
        </w:rPr>
        <w:t>, som disse</w:t>
      </w:r>
      <w:r w:rsidR="00991397" w:rsidRPr="00F00D29">
        <w:rPr>
          <w:rFonts w:ascii="Helvetica" w:hAnsi="Helvetica" w:cs="Helvetica"/>
        </w:rPr>
        <w:t xml:space="preserve"> plade</w:t>
      </w:r>
      <w:r w:rsidR="005B7D83" w:rsidRPr="00F00D29">
        <w:rPr>
          <w:rFonts w:ascii="Helvetica" w:hAnsi="Helvetica" w:cs="Helvetica"/>
        </w:rPr>
        <w:t>selskaber</w:t>
      </w:r>
      <w:r w:rsidR="009D05C2" w:rsidRPr="00F00D29">
        <w:rPr>
          <w:rFonts w:ascii="Helvetica" w:hAnsi="Helvetica" w:cs="Helvetica"/>
        </w:rPr>
        <w:t xml:space="preserve"> har haft </w:t>
      </w:r>
      <w:r w:rsidR="00D67091" w:rsidRPr="00F00D29">
        <w:rPr>
          <w:rFonts w:ascii="Helvetica" w:hAnsi="Helvetica" w:cs="Helvetica"/>
        </w:rPr>
        <w:t>distributions</w:t>
      </w:r>
      <w:r w:rsidR="009D05C2" w:rsidRPr="00F00D29">
        <w:rPr>
          <w:rFonts w:ascii="Helvetica" w:hAnsi="Helvetica" w:cs="Helvetica"/>
        </w:rPr>
        <w:t>indtægter af i 201</w:t>
      </w:r>
      <w:r w:rsidR="00B02009" w:rsidRPr="00F00D29">
        <w:rPr>
          <w:rFonts w:ascii="Helvetica" w:hAnsi="Helvetica" w:cs="Helvetica"/>
        </w:rPr>
        <w:t>5</w:t>
      </w:r>
      <w:r w:rsidR="009D05C2" w:rsidRPr="00F00D29">
        <w:rPr>
          <w:rFonts w:ascii="Helvetica" w:hAnsi="Helvetica" w:cs="Helvetica"/>
        </w:rPr>
        <w:t>.</w:t>
      </w:r>
    </w:p>
    <w:p w:rsidR="00BE0876" w:rsidRPr="00F00D29" w:rsidRDefault="00BE0876">
      <w:pPr>
        <w:pStyle w:val="Listeafsnit"/>
        <w:ind w:left="360"/>
        <w:rPr>
          <w:rFonts w:ascii="Helvetica" w:hAnsi="Helvetica" w:cs="Helvetica"/>
        </w:rPr>
      </w:pPr>
    </w:p>
    <w:p w:rsidR="00BE0876" w:rsidRDefault="00AA34D8">
      <w:pPr>
        <w:ind w:left="360"/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 xml:space="preserve">Som tommelfingerregel </w:t>
      </w:r>
      <w:r w:rsidR="005B7D83" w:rsidRPr="00F00D29">
        <w:rPr>
          <w:rFonts w:ascii="Helvetica" w:hAnsi="Helvetica" w:cs="Helvetica"/>
        </w:rPr>
        <w:t>skal der indbetales</w:t>
      </w:r>
      <w:r w:rsidR="005B7D83" w:rsidRPr="00F97984">
        <w:rPr>
          <w:rFonts w:ascii="Helvetica" w:hAnsi="Helvetica" w:cs="Helvetica"/>
        </w:rPr>
        <w:t xml:space="preserve"> til puljen, hvis ét af følgende forhold gør sig gældende:</w:t>
      </w:r>
    </w:p>
    <w:p w:rsidR="00BE0876" w:rsidRDefault="001C4DB2">
      <w:pPr>
        <w:pStyle w:val="Listeafsnit"/>
        <w:numPr>
          <w:ilvl w:val="0"/>
          <w:numId w:val="5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Hvis der ikke betales royalties</w:t>
      </w:r>
      <w:r w:rsidRPr="00F97984">
        <w:rPr>
          <w:rStyle w:val="Fodnotehenvisning"/>
          <w:rFonts w:ascii="Helvetica" w:hAnsi="Helvetica" w:cs="Helvetica"/>
        </w:rPr>
        <w:footnoteReference w:id="2"/>
      </w:r>
    </w:p>
    <w:p w:rsidR="00BE0876" w:rsidRDefault="006723F8">
      <w:pPr>
        <w:pStyle w:val="Listeafsnit"/>
        <w:numPr>
          <w:ilvl w:val="0"/>
          <w:numId w:val="5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Hvis der medvirke</w:t>
      </w:r>
      <w:r w:rsidR="00991397">
        <w:rPr>
          <w:rFonts w:ascii="Helvetica" w:hAnsi="Helvetica" w:cs="Helvetica"/>
        </w:rPr>
        <w:t>de</w:t>
      </w:r>
      <w:r w:rsidRPr="00F97984">
        <w:rPr>
          <w:rFonts w:ascii="Helvetica" w:hAnsi="Helvetica" w:cs="Helvetica"/>
        </w:rPr>
        <w:t xml:space="preserve"> kunstnere på engangshonorar</w:t>
      </w:r>
    </w:p>
    <w:p w:rsidR="00BE0876" w:rsidRDefault="00B414CE">
      <w:pPr>
        <w:pStyle w:val="Listeafsnit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Hvis der er </w:t>
      </w:r>
      <w:r w:rsidR="006723F8" w:rsidRPr="00F97984">
        <w:rPr>
          <w:rFonts w:ascii="Helvetica" w:hAnsi="Helvetica" w:cs="Helvetica"/>
        </w:rPr>
        <w:t>tvivl om ovenstående</w:t>
      </w:r>
    </w:p>
    <w:p w:rsidR="00BE0876" w:rsidRDefault="00BE0876">
      <w:pPr>
        <w:rPr>
          <w:rFonts w:ascii="Helvetica" w:hAnsi="Helvetica" w:cs="Helvetica"/>
        </w:rPr>
      </w:pPr>
    </w:p>
    <w:p w:rsidR="00BE0876" w:rsidRDefault="009D05C2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 w:rsidRPr="00F97984">
        <w:rPr>
          <w:rFonts w:ascii="Helvetica" w:hAnsi="Helvetica" w:cs="Helvetica"/>
          <w:b/>
        </w:rPr>
        <w:t xml:space="preserve">Hvordan skal </w:t>
      </w:r>
      <w:r w:rsidR="002C2AE3" w:rsidRPr="00F97984">
        <w:rPr>
          <w:rFonts w:ascii="Helvetica" w:hAnsi="Helvetica" w:cs="Helvetica"/>
          <w:b/>
        </w:rPr>
        <w:t>ordnin</w:t>
      </w:r>
      <w:r w:rsidR="00BA4D3B" w:rsidRPr="00F97984">
        <w:rPr>
          <w:rFonts w:ascii="Helvetica" w:hAnsi="Helvetica" w:cs="Helvetica"/>
          <w:b/>
        </w:rPr>
        <w:t>g</w:t>
      </w:r>
      <w:r w:rsidR="002C2AE3" w:rsidRPr="00F97984">
        <w:rPr>
          <w:rFonts w:ascii="Helvetica" w:hAnsi="Helvetica" w:cs="Helvetica"/>
          <w:b/>
        </w:rPr>
        <w:t>en</w:t>
      </w:r>
      <w:r w:rsidRPr="00F97984">
        <w:rPr>
          <w:rFonts w:ascii="Helvetica" w:hAnsi="Helvetica" w:cs="Helvetica"/>
          <w:b/>
        </w:rPr>
        <w:t xml:space="preserve"> administreres?</w:t>
      </w:r>
    </w:p>
    <w:p w:rsidR="00BE0876" w:rsidRDefault="006723F8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 xml:space="preserve">I bemærkningerne til lovforslaget er der anført af Kulturministeriet, at der ikke ønskes indført en minimumsgrænse for indbetalinger til puljen. Gramex har naturligvis valgt at efterkomme dette ønske. </w:t>
      </w:r>
    </w:p>
    <w:p w:rsidR="00BE0876" w:rsidRDefault="00BE0876">
      <w:pPr>
        <w:ind w:left="360"/>
        <w:rPr>
          <w:rFonts w:ascii="Helvetica" w:hAnsi="Helvetica" w:cs="Helvetica"/>
        </w:rPr>
      </w:pPr>
    </w:p>
    <w:p w:rsidR="00BE0876" w:rsidRDefault="006723F8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 xml:space="preserve">Hvad angår udbetaling, </w:t>
      </w:r>
      <w:r w:rsidR="00B35349" w:rsidRPr="00F97984">
        <w:rPr>
          <w:rFonts w:ascii="Helvetica" w:hAnsi="Helvetica" w:cs="Helvetica"/>
        </w:rPr>
        <w:t xml:space="preserve">fremgår </w:t>
      </w:r>
      <w:r w:rsidRPr="00F97984">
        <w:rPr>
          <w:rFonts w:ascii="Helvetica" w:hAnsi="Helvetica" w:cs="Helvetica"/>
        </w:rPr>
        <w:t>der</w:t>
      </w:r>
      <w:r w:rsidR="00B35349" w:rsidRPr="00F97984">
        <w:rPr>
          <w:rFonts w:ascii="Helvetica" w:hAnsi="Helvetica" w:cs="Helvetica"/>
        </w:rPr>
        <w:t xml:space="preserve"> af Kulturministeriets bemærkninger</w:t>
      </w:r>
      <w:r w:rsidRPr="00F97984">
        <w:rPr>
          <w:rFonts w:ascii="Helvetica" w:hAnsi="Helvetica" w:cs="Helvetica"/>
        </w:rPr>
        <w:t xml:space="preserve"> </w:t>
      </w:r>
      <w:r w:rsidR="00B35349" w:rsidRPr="00F97984">
        <w:rPr>
          <w:rFonts w:ascii="Helvetica" w:hAnsi="Helvetica" w:cs="Helvetica"/>
        </w:rPr>
        <w:t xml:space="preserve">ingen decideret </w:t>
      </w:r>
      <w:r w:rsidR="003603A3" w:rsidRPr="00F97984">
        <w:rPr>
          <w:rFonts w:ascii="Helvetica" w:hAnsi="Helvetica" w:cs="Helvetica"/>
        </w:rPr>
        <w:t>v</w:t>
      </w:r>
      <w:r w:rsidRPr="00F97984">
        <w:rPr>
          <w:rFonts w:ascii="Helvetica" w:hAnsi="Helvetica" w:cs="Helvetica"/>
        </w:rPr>
        <w:t xml:space="preserve">ejledning. I overensstemmelse med hensigterne bag lovændringen har Gramex </w:t>
      </w:r>
      <w:r w:rsidR="00B35349" w:rsidRPr="00F97984">
        <w:rPr>
          <w:rFonts w:ascii="Helvetica" w:hAnsi="Helvetica" w:cs="Helvetica"/>
        </w:rPr>
        <w:t xml:space="preserve">derfor </w:t>
      </w:r>
      <w:r w:rsidRPr="00F97984">
        <w:rPr>
          <w:rFonts w:ascii="Helvetica" w:hAnsi="Helvetica" w:cs="Helvetica"/>
        </w:rPr>
        <w:t>valgt at gennemføre ordningen således, at der ved udbetalinger til NemKonto også vil blive udbetalt mindre beløb end den almindelige minimumsgrænse for udbetaling (kr. 50).</w:t>
      </w:r>
    </w:p>
    <w:p w:rsidR="00BE0876" w:rsidRDefault="00BE0876">
      <w:pPr>
        <w:ind w:left="360"/>
        <w:rPr>
          <w:rFonts w:ascii="Helvetica" w:hAnsi="Helvetica" w:cs="Helvetica"/>
        </w:rPr>
      </w:pPr>
    </w:p>
    <w:p w:rsidR="00BE0876" w:rsidRDefault="00366355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lastRenderedPageBreak/>
        <w:t>Hvis der skal udbetales til andet end NemKonto, vil Gramex’ almindelige minimumsgrænse på kr. 50 også blive br</w:t>
      </w:r>
      <w:r w:rsidR="00991397">
        <w:rPr>
          <w:rFonts w:ascii="Helvetica" w:hAnsi="Helvetica" w:cs="Helvetica"/>
        </w:rPr>
        <w:t>ugt på udbetalinger fra 20 pct.-</w:t>
      </w:r>
      <w:r w:rsidRPr="00F97984">
        <w:rPr>
          <w:rFonts w:ascii="Helvetica" w:hAnsi="Helvetica" w:cs="Helvetica"/>
        </w:rPr>
        <w:t>puljen.</w:t>
      </w:r>
    </w:p>
    <w:p w:rsidR="00BE0876" w:rsidRDefault="00BE0876">
      <w:pPr>
        <w:ind w:left="360"/>
        <w:rPr>
          <w:rFonts w:ascii="Helvetica" w:hAnsi="Helvetica" w:cs="Helvetica"/>
        </w:rPr>
      </w:pPr>
    </w:p>
    <w:p w:rsidR="00BE0876" w:rsidRDefault="00BD42B6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I denne forbindelse er det meget vigtigt for os at understrege, at de indtægter</w:t>
      </w:r>
      <w:r w:rsidR="00B35349" w:rsidRPr="00F97984">
        <w:rPr>
          <w:rFonts w:ascii="Helvetica" w:hAnsi="Helvetica" w:cs="Helvetica"/>
        </w:rPr>
        <w:t>,</w:t>
      </w:r>
      <w:r w:rsidRPr="00F97984">
        <w:rPr>
          <w:rFonts w:ascii="Helvetica" w:hAnsi="Helvetica" w:cs="Helvetica"/>
        </w:rPr>
        <w:t xml:space="preserve"> som kommer ind på et track, bliver udbetalt til rettighedshaverne på det konkrete track.</w:t>
      </w:r>
    </w:p>
    <w:p w:rsidR="001B4B06" w:rsidRDefault="001B4B06">
      <w:pPr>
        <w:pStyle w:val="Listeafsnit"/>
        <w:ind w:left="360"/>
        <w:rPr>
          <w:rFonts w:ascii="Helvetica" w:hAnsi="Helvetica" w:cs="Helvetica"/>
        </w:rPr>
      </w:pPr>
    </w:p>
    <w:p w:rsidR="001B4B06" w:rsidRDefault="00B414CE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Køreplan – skridt for skridt</w:t>
      </w:r>
    </w:p>
    <w:p w:rsidR="001B4B06" w:rsidRPr="00F00D29" w:rsidRDefault="00024FD7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For at gøre område</w:t>
      </w:r>
      <w:r w:rsidR="0020087C">
        <w:rPr>
          <w:rFonts w:ascii="Helvetica" w:hAnsi="Helvetica" w:cs="Helvetica"/>
        </w:rPr>
        <w:t>t</w:t>
      </w:r>
      <w:r w:rsidRPr="00F97984">
        <w:rPr>
          <w:rFonts w:ascii="Helvetica" w:hAnsi="Helvetica" w:cs="Helvetica"/>
        </w:rPr>
        <w:t xml:space="preserve"> så let at administrere som muligt har Gramex udarbejdet </w:t>
      </w:r>
      <w:r w:rsidR="00B414CE">
        <w:rPr>
          <w:rFonts w:ascii="Helvetica" w:hAnsi="Helvetica" w:cs="Helvetica"/>
        </w:rPr>
        <w:t xml:space="preserve">nedenstående </w:t>
      </w:r>
      <w:r w:rsidRPr="00F97984">
        <w:rPr>
          <w:rFonts w:ascii="Helvetica" w:hAnsi="Helvetica" w:cs="Helvetica"/>
        </w:rPr>
        <w:t>køreplan for, hvordan 20 pct.</w:t>
      </w:r>
      <w:r w:rsidR="0083672A">
        <w:rPr>
          <w:rFonts w:ascii="Helvetica" w:hAnsi="Helvetica" w:cs="Helvetica"/>
        </w:rPr>
        <w:t>-</w:t>
      </w:r>
      <w:r w:rsidRPr="00F97984">
        <w:rPr>
          <w:rFonts w:ascii="Helvetica" w:hAnsi="Helvetica" w:cs="Helvetica"/>
        </w:rPr>
        <w:t>puljen skal håndter</w:t>
      </w:r>
      <w:r w:rsidRPr="00F00D29">
        <w:rPr>
          <w:rFonts w:ascii="Helvetica" w:hAnsi="Helvetica" w:cs="Helvetica"/>
        </w:rPr>
        <w:t>es.</w:t>
      </w:r>
    </w:p>
    <w:p w:rsidR="001B4B06" w:rsidRPr="00F00D29" w:rsidRDefault="001B4B06">
      <w:pPr>
        <w:ind w:left="360"/>
        <w:rPr>
          <w:rFonts w:ascii="Helvetica" w:hAnsi="Helvetica" w:cs="Helvetica"/>
        </w:rPr>
      </w:pPr>
    </w:p>
    <w:p w:rsidR="001B4B06" w:rsidRPr="00F00D29" w:rsidRDefault="00CE65A1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 w:rsidRPr="00F00D29">
        <w:rPr>
          <w:rFonts w:ascii="Helvetica" w:hAnsi="Helvetica" w:cs="Helvetica"/>
          <w:b/>
        </w:rPr>
        <w:t>Hvad</w:t>
      </w:r>
      <w:r w:rsidR="00BA4D3B" w:rsidRPr="00F00D29">
        <w:rPr>
          <w:rFonts w:ascii="Helvetica" w:hAnsi="Helvetica" w:cs="Helvetica"/>
          <w:b/>
        </w:rPr>
        <w:t xml:space="preserve"> gør </w:t>
      </w:r>
      <w:r w:rsidR="00B414CE" w:rsidRPr="00F00D29">
        <w:rPr>
          <w:rFonts w:ascii="Helvetica" w:hAnsi="Helvetica" w:cs="Helvetica"/>
          <w:b/>
        </w:rPr>
        <w:t>plade</w:t>
      </w:r>
      <w:r w:rsidRPr="00F00D29">
        <w:rPr>
          <w:rFonts w:ascii="Helvetica" w:hAnsi="Helvetica" w:cs="Helvetica"/>
          <w:b/>
        </w:rPr>
        <w:t>selskaberne</w:t>
      </w:r>
      <w:r w:rsidR="00BA4D3B" w:rsidRPr="00F00D29">
        <w:rPr>
          <w:rFonts w:ascii="Helvetica" w:hAnsi="Helvetica" w:cs="Helvetica"/>
          <w:b/>
        </w:rPr>
        <w:t>?</w:t>
      </w:r>
      <w:bookmarkStart w:id="0" w:name="_GoBack"/>
      <w:bookmarkEnd w:id="0"/>
    </w:p>
    <w:p w:rsidR="001B4B06" w:rsidRPr="00F00D29" w:rsidRDefault="0020087C">
      <w:pPr>
        <w:ind w:left="360"/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>De pladeselskaber, der i 201</w:t>
      </w:r>
      <w:r w:rsidR="00C16B6A" w:rsidRPr="00F00D29">
        <w:rPr>
          <w:rFonts w:ascii="Helvetica" w:hAnsi="Helvetica" w:cs="Helvetica"/>
        </w:rPr>
        <w:t>6</w:t>
      </w:r>
      <w:r w:rsidR="00991397" w:rsidRPr="00F00D29">
        <w:rPr>
          <w:rFonts w:ascii="Helvetica" w:hAnsi="Helvetica" w:cs="Helvetica"/>
        </w:rPr>
        <w:t xml:space="preserve"> havde distributionsindtægter på</w:t>
      </w:r>
      <w:r w:rsidRPr="00F00D29">
        <w:rPr>
          <w:rFonts w:ascii="Helvetica" w:hAnsi="Helvetica" w:cs="Helvetica"/>
        </w:rPr>
        <w:t xml:space="preserve"> udgivelser fra 1963</w:t>
      </w:r>
      <w:r w:rsidR="002A786C" w:rsidRPr="00F00D29">
        <w:rPr>
          <w:rFonts w:ascii="Helvetica" w:hAnsi="Helvetica" w:cs="Helvetica"/>
        </w:rPr>
        <w:t>-</w:t>
      </w:r>
      <w:r w:rsidR="00B02009" w:rsidRPr="00F00D29">
        <w:rPr>
          <w:rFonts w:ascii="Helvetica" w:hAnsi="Helvetica" w:cs="Helvetica"/>
        </w:rPr>
        <w:t>196</w:t>
      </w:r>
      <w:r w:rsidR="00C16B6A" w:rsidRPr="00F00D29">
        <w:rPr>
          <w:rFonts w:ascii="Helvetica" w:hAnsi="Helvetica" w:cs="Helvetica"/>
        </w:rPr>
        <w:t>5</w:t>
      </w:r>
      <w:r w:rsidR="00B02009" w:rsidRPr="00F00D29">
        <w:rPr>
          <w:rFonts w:ascii="Helvetica" w:hAnsi="Helvetica" w:cs="Helvetica"/>
        </w:rPr>
        <w:t xml:space="preserve"> </w:t>
      </w:r>
      <w:r w:rsidRPr="00F00D29">
        <w:rPr>
          <w:rFonts w:ascii="Helvetica" w:hAnsi="Helvetica" w:cs="Helvetica"/>
        </w:rPr>
        <w:t>med medvirkende musikere på engangshonorar, skal gøre to ting:</w:t>
      </w:r>
    </w:p>
    <w:p w:rsidR="001B4B06" w:rsidRPr="00F00D29" w:rsidRDefault="0020087C">
      <w:pPr>
        <w:pStyle w:val="Listeafsnit"/>
        <w:numPr>
          <w:ilvl w:val="0"/>
          <w:numId w:val="14"/>
        </w:numPr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>Udfylde rapporteringsskema til 20 pct.</w:t>
      </w:r>
      <w:r w:rsidR="0083672A" w:rsidRPr="00F00D29">
        <w:rPr>
          <w:rFonts w:ascii="Helvetica" w:hAnsi="Helvetica" w:cs="Helvetica"/>
        </w:rPr>
        <w:t>-</w:t>
      </w:r>
      <w:r w:rsidRPr="00F00D29">
        <w:rPr>
          <w:rFonts w:ascii="Helvetica" w:hAnsi="Helvetica" w:cs="Helvetica"/>
        </w:rPr>
        <w:t>puljen med så meget information som muligt om de pågældende udgivelser</w:t>
      </w:r>
    </w:p>
    <w:p w:rsidR="001B4B06" w:rsidRPr="00F00D29" w:rsidRDefault="0020087C">
      <w:pPr>
        <w:pStyle w:val="Listeafsnit"/>
        <w:numPr>
          <w:ilvl w:val="0"/>
          <w:numId w:val="14"/>
        </w:numPr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>Indbetale 20 pct. af disse indt</w:t>
      </w:r>
      <w:r w:rsidR="00991397" w:rsidRPr="00F00D29">
        <w:rPr>
          <w:rFonts w:ascii="Helvetica" w:hAnsi="Helvetica" w:cs="Helvetica"/>
        </w:rPr>
        <w:t>ægter i 201</w:t>
      </w:r>
      <w:r w:rsidR="00CB1D3E" w:rsidRPr="00F00D29">
        <w:rPr>
          <w:rFonts w:ascii="Helvetica" w:hAnsi="Helvetica" w:cs="Helvetica"/>
        </w:rPr>
        <w:t>6</w:t>
      </w:r>
      <w:r w:rsidR="00991397" w:rsidRPr="00F00D29">
        <w:rPr>
          <w:rFonts w:ascii="Helvetica" w:hAnsi="Helvetica" w:cs="Helvetica"/>
        </w:rPr>
        <w:t xml:space="preserve"> til 20 pct.-puljen</w:t>
      </w:r>
      <w:r w:rsidRPr="00F00D29">
        <w:rPr>
          <w:rFonts w:ascii="Helvetica" w:hAnsi="Helvetica" w:cs="Helvetica"/>
        </w:rPr>
        <w:t xml:space="preserve"> til Gramex’ konto i Danske Bank: reg.nr. 4180 kontonr. 4115211447 med anførelse af pladesel</w:t>
      </w:r>
      <w:r w:rsidR="00991397" w:rsidRPr="00F00D29">
        <w:rPr>
          <w:rFonts w:ascii="Helvetica" w:hAnsi="Helvetica" w:cs="Helvetica"/>
        </w:rPr>
        <w:t>skabets navn og teksten ”20 pct.”</w:t>
      </w:r>
      <w:r w:rsidRPr="00F00D29">
        <w:rPr>
          <w:rFonts w:ascii="Helvetica" w:hAnsi="Helvetica" w:cs="Helvetica"/>
        </w:rPr>
        <w:t xml:space="preserve"> </w:t>
      </w:r>
    </w:p>
    <w:p w:rsidR="001B4B06" w:rsidRPr="00F00D29" w:rsidRDefault="001B4B06">
      <w:pPr>
        <w:ind w:left="360"/>
        <w:rPr>
          <w:rFonts w:ascii="Helvetica" w:hAnsi="Helvetica" w:cs="Helvetica"/>
        </w:rPr>
      </w:pPr>
    </w:p>
    <w:p w:rsidR="001B4B06" w:rsidRPr="00F00D29" w:rsidRDefault="0020087C">
      <w:pPr>
        <w:ind w:left="360"/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 xml:space="preserve">Seneste frist for pladeselskaberne for </w:t>
      </w:r>
      <w:r w:rsidR="00B71246" w:rsidRPr="00F00D29">
        <w:rPr>
          <w:rFonts w:ascii="Helvetica" w:hAnsi="Helvetica" w:cs="Helvetica"/>
        </w:rPr>
        <w:t xml:space="preserve">at indsende rapporteringsskema </w:t>
      </w:r>
      <w:r w:rsidRPr="00F00D29">
        <w:rPr>
          <w:rFonts w:ascii="Helvetica" w:hAnsi="Helvetica" w:cs="Helvetica"/>
        </w:rPr>
        <w:t xml:space="preserve">og indbetale </w:t>
      </w:r>
      <w:r w:rsidR="00B71246" w:rsidRPr="00F00D29">
        <w:rPr>
          <w:rFonts w:ascii="Helvetica" w:hAnsi="Helvetica" w:cs="Helvetica"/>
        </w:rPr>
        <w:t xml:space="preserve">20 pct. af indtægterne </w:t>
      </w:r>
      <w:r w:rsidRPr="00F00D29">
        <w:rPr>
          <w:rFonts w:ascii="Helvetica" w:hAnsi="Helvetica" w:cs="Helvetica"/>
        </w:rPr>
        <w:t xml:space="preserve">er </w:t>
      </w:r>
      <w:r w:rsidR="00C16B6A" w:rsidRPr="00F00D29">
        <w:rPr>
          <w:rFonts w:ascii="Helvetica" w:hAnsi="Helvetica" w:cs="Helvetica"/>
        </w:rPr>
        <w:t xml:space="preserve">den </w:t>
      </w:r>
      <w:r w:rsidR="00B02009" w:rsidRPr="00F00D29">
        <w:rPr>
          <w:rFonts w:ascii="Helvetica" w:hAnsi="Helvetica" w:cs="Helvetica"/>
          <w:u w:val="single"/>
        </w:rPr>
        <w:t>1</w:t>
      </w:r>
      <w:r w:rsidR="00040A38" w:rsidRPr="00F00D29">
        <w:rPr>
          <w:rFonts w:ascii="Helvetica" w:hAnsi="Helvetica" w:cs="Helvetica"/>
          <w:u w:val="single"/>
        </w:rPr>
        <w:t xml:space="preserve">. </w:t>
      </w:r>
      <w:r w:rsidR="00C16B6A" w:rsidRPr="00F00D29">
        <w:rPr>
          <w:rFonts w:ascii="Helvetica" w:hAnsi="Helvetica" w:cs="Helvetica"/>
          <w:u w:val="single"/>
        </w:rPr>
        <w:t>september</w:t>
      </w:r>
      <w:r w:rsidR="00040A38" w:rsidRPr="00F00D29">
        <w:rPr>
          <w:rFonts w:ascii="Helvetica" w:hAnsi="Helvetica" w:cs="Helvetica"/>
          <w:u w:val="single"/>
        </w:rPr>
        <w:t xml:space="preserve"> 201</w:t>
      </w:r>
      <w:r w:rsidR="00C16B6A" w:rsidRPr="00F00D29">
        <w:rPr>
          <w:rFonts w:ascii="Helvetica" w:hAnsi="Helvetica" w:cs="Helvetica"/>
          <w:u w:val="single"/>
        </w:rPr>
        <w:t>7</w:t>
      </w:r>
      <w:r w:rsidRPr="00F00D29">
        <w:rPr>
          <w:rFonts w:ascii="Helvetica" w:hAnsi="Helvetica" w:cs="Helvetica"/>
        </w:rPr>
        <w:t>.</w:t>
      </w:r>
    </w:p>
    <w:p w:rsidR="001B4B06" w:rsidRPr="00F00D29" w:rsidRDefault="001B4B06">
      <w:pPr>
        <w:ind w:left="360"/>
        <w:rPr>
          <w:rFonts w:ascii="Helvetica" w:hAnsi="Helvetica" w:cs="Helvetica"/>
        </w:rPr>
      </w:pPr>
    </w:p>
    <w:p w:rsidR="001B4B06" w:rsidRPr="00F00D29" w:rsidRDefault="00040A38">
      <w:pPr>
        <w:ind w:left="360"/>
        <w:rPr>
          <w:rFonts w:ascii="Helvetica" w:hAnsi="Helvetica" w:cs="Helvetica"/>
          <w:b/>
        </w:rPr>
      </w:pPr>
      <w:r w:rsidRPr="00F00D29">
        <w:rPr>
          <w:rFonts w:ascii="Helvetica" w:hAnsi="Helvetica" w:cs="Helvetica"/>
          <w:b/>
        </w:rPr>
        <w:t>Definition af distributionsindtægter:</w:t>
      </w:r>
    </w:p>
    <w:p w:rsidR="001B4B06" w:rsidRDefault="0020087C">
      <w:pPr>
        <w:ind w:left="360"/>
        <w:rPr>
          <w:rFonts w:ascii="Helvetica" w:hAnsi="Helvetica" w:cs="Helvetica"/>
        </w:rPr>
      </w:pPr>
      <w:r w:rsidRPr="00F00D29">
        <w:rPr>
          <w:rFonts w:ascii="Helvetica" w:hAnsi="Helvetica" w:cs="Helvetica"/>
        </w:rPr>
        <w:t xml:space="preserve">I denne sammenhæng indbefatter det </w:t>
      </w:r>
      <w:r w:rsidR="00AA143C" w:rsidRPr="00F00D29">
        <w:rPr>
          <w:rFonts w:ascii="Helvetica" w:hAnsi="Helvetica" w:cs="Helvetica"/>
        </w:rPr>
        <w:t xml:space="preserve">både </w:t>
      </w:r>
      <w:r w:rsidRPr="00F00D29">
        <w:rPr>
          <w:rFonts w:ascii="Helvetica" w:hAnsi="Helvetica" w:cs="Helvetica"/>
        </w:rPr>
        <w:t xml:space="preserve">indtægter fra fysisk salg af fx cd’er, indtægter fra streamingtjenester samt indtægter fra aftaler, som pladeselskabet har med andre om distribution, reproduktion eller tilrådighedsstilllelse. Alle andre indtægter fra udgivelser </w:t>
      </w:r>
      <w:r w:rsidR="00B02009" w:rsidRPr="00F00D29">
        <w:rPr>
          <w:rFonts w:ascii="Helvetica" w:hAnsi="Helvetica" w:cs="Helvetica"/>
        </w:rPr>
        <w:t>fra 1963</w:t>
      </w:r>
      <w:r w:rsidR="002A786C" w:rsidRPr="00F00D29">
        <w:rPr>
          <w:rFonts w:ascii="Helvetica" w:hAnsi="Helvetica" w:cs="Helvetica"/>
        </w:rPr>
        <w:t>-</w:t>
      </w:r>
      <w:r w:rsidR="00B02009" w:rsidRPr="00F00D29">
        <w:rPr>
          <w:rFonts w:ascii="Helvetica" w:hAnsi="Helvetica" w:cs="Helvetica"/>
        </w:rPr>
        <w:t>196</w:t>
      </w:r>
      <w:r w:rsidR="00C16B6A" w:rsidRPr="00F00D29">
        <w:rPr>
          <w:rFonts w:ascii="Helvetica" w:hAnsi="Helvetica" w:cs="Helvetica"/>
        </w:rPr>
        <w:t>5</w:t>
      </w:r>
      <w:r w:rsidR="00B02009" w:rsidRPr="00F00D29">
        <w:rPr>
          <w:rFonts w:ascii="Helvetica" w:hAnsi="Helvetica" w:cs="Helvetica"/>
        </w:rPr>
        <w:t xml:space="preserve"> </w:t>
      </w:r>
      <w:r w:rsidRPr="00F00D29">
        <w:rPr>
          <w:rFonts w:ascii="Helvetica" w:hAnsi="Helvetica" w:cs="Helvetica"/>
        </w:rPr>
        <w:t xml:space="preserve">vil </w:t>
      </w:r>
      <w:r w:rsidR="00991397" w:rsidRPr="00F00D29">
        <w:rPr>
          <w:rFonts w:ascii="Helvetica" w:hAnsi="Helvetica" w:cs="Helvetica"/>
        </w:rPr>
        <w:t>ikke være</w:t>
      </w:r>
      <w:r w:rsidR="00991397">
        <w:rPr>
          <w:rFonts w:ascii="Helvetica" w:hAnsi="Helvetica" w:cs="Helvetica"/>
        </w:rPr>
        <w:t xml:space="preserve"> omfattet af ordningen.</w:t>
      </w:r>
    </w:p>
    <w:p w:rsidR="001B4B06" w:rsidRDefault="001B4B06">
      <w:pPr>
        <w:ind w:left="360"/>
        <w:rPr>
          <w:rFonts w:ascii="Helvetica" w:hAnsi="Helvetica" w:cs="Helvetica"/>
        </w:rPr>
      </w:pPr>
    </w:p>
    <w:p w:rsidR="001B4B06" w:rsidRDefault="00B71246">
      <w:pPr>
        <w:ind w:left="36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Detaljer i r</w:t>
      </w:r>
      <w:r w:rsidR="00040A38" w:rsidRPr="00040A38">
        <w:rPr>
          <w:rFonts w:ascii="Helvetica" w:hAnsi="Helvetica" w:cs="Helvetica"/>
          <w:b/>
        </w:rPr>
        <w:t>apporteringsskem</w:t>
      </w:r>
      <w:r>
        <w:rPr>
          <w:rFonts w:ascii="Helvetica" w:hAnsi="Helvetica" w:cs="Helvetica"/>
          <w:b/>
        </w:rPr>
        <w:t>aet</w:t>
      </w:r>
      <w:r w:rsidR="004074A8">
        <w:rPr>
          <w:rFonts w:ascii="Helvetica" w:hAnsi="Helvetica" w:cs="Helvetica"/>
          <w:b/>
        </w:rPr>
        <w:t xml:space="preserve">, som </w:t>
      </w:r>
      <w:r w:rsidR="00793CDF">
        <w:rPr>
          <w:rFonts w:ascii="Helvetica" w:hAnsi="Helvetica" w:cs="Helvetica"/>
          <w:b/>
        </w:rPr>
        <w:t xml:space="preserve">skal være på </w:t>
      </w:r>
      <w:r w:rsidR="00F00D29">
        <w:rPr>
          <w:rFonts w:ascii="Helvetica" w:hAnsi="Helvetica" w:cs="Helvetica"/>
          <w:b/>
        </w:rPr>
        <w:t>track niveau</w:t>
      </w:r>
    </w:p>
    <w:p w:rsidR="001B4B06" w:rsidRDefault="005A74E9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O</w:t>
      </w:r>
      <w:r w:rsidR="00CE65A1" w:rsidRPr="00F97984">
        <w:rPr>
          <w:rFonts w:ascii="Helvetica" w:hAnsi="Helvetica" w:cs="Helvetica"/>
        </w:rPr>
        <w:t>pgørelse</w:t>
      </w:r>
      <w:r w:rsidRPr="00F97984">
        <w:rPr>
          <w:rFonts w:ascii="Helvetica" w:hAnsi="Helvetica" w:cs="Helvetica"/>
        </w:rPr>
        <w:t>n</w:t>
      </w:r>
      <w:r w:rsidR="00CE65A1" w:rsidRPr="00F97984">
        <w:rPr>
          <w:rFonts w:ascii="Helvetica" w:hAnsi="Helvetica" w:cs="Helvetica"/>
        </w:rPr>
        <w:t xml:space="preserve"> skal for hver enkelt </w:t>
      </w:r>
      <w:r w:rsidR="00991397">
        <w:rPr>
          <w:rFonts w:ascii="Helvetica" w:hAnsi="Helvetica" w:cs="Helvetica"/>
        </w:rPr>
        <w:t>udgivelse</w:t>
      </w:r>
      <w:r w:rsidR="00BA4D3B" w:rsidRPr="00F97984">
        <w:rPr>
          <w:rFonts w:ascii="Helvetica" w:hAnsi="Helvetica" w:cs="Helvetica"/>
        </w:rPr>
        <w:t xml:space="preserve"> </w:t>
      </w:r>
      <w:r w:rsidR="00CE65A1" w:rsidRPr="00F97984">
        <w:rPr>
          <w:rFonts w:ascii="Helvetica" w:hAnsi="Helvetica" w:cs="Helvetica"/>
        </w:rPr>
        <w:t>indeholde følgende oplysninger</w:t>
      </w:r>
      <w:r w:rsidRPr="00F97984">
        <w:rPr>
          <w:rFonts w:ascii="Helvetica" w:hAnsi="Helvetica" w:cs="Helvetica"/>
        </w:rPr>
        <w:t xml:space="preserve"> (i det omfang disse oplysninger er tilgængelige)</w:t>
      </w:r>
      <w:r w:rsidR="00CE65A1" w:rsidRPr="00F97984">
        <w:rPr>
          <w:rFonts w:ascii="Helvetica" w:hAnsi="Helvetica" w:cs="Helvetica"/>
        </w:rPr>
        <w:t>: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Hovedartist</w:t>
      </w:r>
    </w:p>
    <w:p w:rsidR="001B4B06" w:rsidRDefault="00F00D29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 xml:space="preserve">rack </w:t>
      </w:r>
      <w:r w:rsidRPr="00F97984">
        <w:rPr>
          <w:rFonts w:ascii="Helvetica" w:hAnsi="Helvetica" w:cs="Helvetica"/>
        </w:rPr>
        <w:t>titel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Albumtitel (medm</w:t>
      </w:r>
      <w:r w:rsidR="00991397">
        <w:rPr>
          <w:rFonts w:ascii="Helvetica" w:hAnsi="Helvetica" w:cs="Helvetica"/>
        </w:rPr>
        <w:t>indre der er tale om en single</w:t>
      </w:r>
      <w:r w:rsidRPr="00F97984">
        <w:rPr>
          <w:rFonts w:ascii="Helvetica" w:hAnsi="Helvetica" w:cs="Helvetica"/>
        </w:rPr>
        <w:t>)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Plademærke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Oprindelig albumtitel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Oprindeligt udgivelsesår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Oprindeligt katalognummer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Oprindeligt selskabsnummer</w:t>
      </w:r>
    </w:p>
    <w:p w:rsidR="001B4B06" w:rsidRDefault="00CE65A1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Musikere ikke på kontrakt (angives med navn, samt andre oplysninger</w:t>
      </w:r>
      <w:r w:rsidR="00B35349" w:rsidRPr="00F97984">
        <w:rPr>
          <w:rFonts w:ascii="Helvetica" w:hAnsi="Helvetica" w:cs="Helvetica"/>
        </w:rPr>
        <w:t>,</w:t>
      </w:r>
      <w:r w:rsidRPr="00F97984">
        <w:rPr>
          <w:rFonts w:ascii="Helvetica" w:hAnsi="Helvetica" w:cs="Helvetica"/>
        </w:rPr>
        <w:t xml:space="preserve"> som måtte være tilgængelige)</w:t>
      </w:r>
    </w:p>
    <w:p w:rsidR="001B4B06" w:rsidRDefault="00BD42B6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Samlet o</w:t>
      </w:r>
      <w:r w:rsidR="00CE65A1" w:rsidRPr="00F97984">
        <w:rPr>
          <w:rFonts w:ascii="Helvetica" w:hAnsi="Helvetica" w:cs="Helvetica"/>
        </w:rPr>
        <w:t xml:space="preserve">msætning for den enkelte </w:t>
      </w:r>
      <w:r w:rsidR="00991397">
        <w:rPr>
          <w:rFonts w:ascii="Helvetica" w:hAnsi="Helvetica" w:cs="Helvetica"/>
        </w:rPr>
        <w:t>udgivelse</w:t>
      </w:r>
    </w:p>
    <w:p w:rsidR="004074A8" w:rsidRDefault="00BD42B6" w:rsidP="004074A8">
      <w:pPr>
        <w:pStyle w:val="Listeafsnit"/>
        <w:numPr>
          <w:ilvl w:val="0"/>
          <w:numId w:val="4"/>
        </w:numPr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20 % af den samlede omsætning</w:t>
      </w:r>
    </w:p>
    <w:p w:rsidR="004074A8" w:rsidRDefault="004074A8" w:rsidP="004074A8">
      <w:pPr>
        <w:rPr>
          <w:rFonts w:ascii="Helvetica" w:hAnsi="Helvetica" w:cs="Helvetica"/>
        </w:rPr>
      </w:pPr>
    </w:p>
    <w:p w:rsidR="004074A8" w:rsidRPr="004074A8" w:rsidRDefault="004074A8" w:rsidP="004074A8">
      <w:pPr>
        <w:rPr>
          <w:rFonts w:ascii="Helvetica" w:hAnsi="Helvetica" w:cs="Helvetica"/>
        </w:rPr>
      </w:pPr>
      <w:r w:rsidRPr="004074A8">
        <w:rPr>
          <w:rFonts w:ascii="Helvetica" w:hAnsi="Helvetica" w:cs="Helvetica"/>
          <w:b/>
        </w:rPr>
        <w:t>NB:</w:t>
      </w:r>
      <w:r>
        <w:rPr>
          <w:rFonts w:ascii="Helvetica" w:hAnsi="Helvetica" w:cs="Helvetica"/>
        </w:rPr>
        <w:t xml:space="preserve"> Vi modtager </w:t>
      </w:r>
      <w:r w:rsidRPr="004074A8">
        <w:rPr>
          <w:rFonts w:ascii="Helvetica" w:hAnsi="Helvetica" w:cs="Helvetica"/>
          <w:i/>
        </w:rPr>
        <w:t>kun</w:t>
      </w:r>
      <w:r>
        <w:rPr>
          <w:rFonts w:ascii="Helvetica" w:hAnsi="Helvetica" w:cs="Helvetica"/>
        </w:rPr>
        <w:t xml:space="preserve"> rapportering som følger vores rapporteringsstandard.</w:t>
      </w:r>
    </w:p>
    <w:p w:rsidR="001B4B06" w:rsidRDefault="001B4B06">
      <w:pPr>
        <w:rPr>
          <w:rFonts w:ascii="Helvetica" w:hAnsi="Helvetica" w:cs="Helvetica"/>
        </w:rPr>
      </w:pPr>
    </w:p>
    <w:p w:rsidR="000B6AF2" w:rsidRDefault="000B6AF2">
      <w:pPr>
        <w:rPr>
          <w:rFonts w:ascii="Helvetica" w:hAnsi="Helvetica" w:cs="Helvetica"/>
        </w:rPr>
      </w:pPr>
    </w:p>
    <w:p w:rsidR="000B6AF2" w:rsidRDefault="000B6AF2">
      <w:pPr>
        <w:rPr>
          <w:rFonts w:ascii="Helvetica" w:hAnsi="Helvetica" w:cs="Helvetica"/>
        </w:rPr>
      </w:pPr>
    </w:p>
    <w:p w:rsidR="001B4B06" w:rsidRDefault="00366355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 w:rsidRPr="00F97984">
        <w:rPr>
          <w:rFonts w:ascii="Helvetica" w:hAnsi="Helvetica" w:cs="Helvetica"/>
          <w:b/>
        </w:rPr>
        <w:t xml:space="preserve">Hvad </w:t>
      </w:r>
      <w:r w:rsidR="00BA4D3B" w:rsidRPr="00F97984">
        <w:rPr>
          <w:rFonts w:ascii="Helvetica" w:hAnsi="Helvetica" w:cs="Helvetica"/>
          <w:b/>
        </w:rPr>
        <w:t>gør</w:t>
      </w:r>
      <w:r w:rsidRPr="00F97984">
        <w:rPr>
          <w:rFonts w:ascii="Helvetica" w:hAnsi="Helvetica" w:cs="Helvetica"/>
          <w:b/>
        </w:rPr>
        <w:t xml:space="preserve"> </w:t>
      </w:r>
      <w:r w:rsidR="00CE65A1" w:rsidRPr="00F97984">
        <w:rPr>
          <w:rFonts w:ascii="Helvetica" w:hAnsi="Helvetica" w:cs="Helvetica"/>
          <w:b/>
        </w:rPr>
        <w:t>Gramex</w:t>
      </w:r>
      <w:r w:rsidRPr="00F97984">
        <w:rPr>
          <w:rFonts w:ascii="Helvetica" w:hAnsi="Helvetica" w:cs="Helvetica"/>
          <w:b/>
        </w:rPr>
        <w:t>?</w:t>
      </w:r>
    </w:p>
    <w:p w:rsidR="001B4B06" w:rsidRDefault="00CE65A1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Efter at have modtaget opgørelser</w:t>
      </w:r>
      <w:r w:rsidR="00991397">
        <w:rPr>
          <w:rFonts w:ascii="Helvetica" w:hAnsi="Helvetica" w:cs="Helvetica"/>
        </w:rPr>
        <w:t>ne</w:t>
      </w:r>
      <w:r w:rsidRPr="00F97984">
        <w:rPr>
          <w:rFonts w:ascii="Helvetica" w:hAnsi="Helvetica" w:cs="Helvetica"/>
        </w:rPr>
        <w:t xml:space="preserve"> fra </w:t>
      </w:r>
      <w:r w:rsidR="0020087C">
        <w:rPr>
          <w:rFonts w:ascii="Helvetica" w:hAnsi="Helvetica" w:cs="Helvetica"/>
        </w:rPr>
        <w:t>plade</w:t>
      </w:r>
      <w:r w:rsidR="00CD2312" w:rsidRPr="00F97984">
        <w:rPr>
          <w:rFonts w:ascii="Helvetica" w:hAnsi="Helvetica" w:cs="Helvetica"/>
        </w:rPr>
        <w:t xml:space="preserve">selskaberne offentliggør Gramex en liste over de </w:t>
      </w:r>
      <w:r w:rsidR="00991397">
        <w:rPr>
          <w:rFonts w:ascii="Helvetica" w:hAnsi="Helvetica" w:cs="Helvetica"/>
        </w:rPr>
        <w:t>udgivelser</w:t>
      </w:r>
      <w:r w:rsidR="00B41C27" w:rsidRPr="00F97984">
        <w:rPr>
          <w:rFonts w:ascii="Helvetica" w:hAnsi="Helvetica" w:cs="Helvetica"/>
        </w:rPr>
        <w:t xml:space="preserve"> </w:t>
      </w:r>
      <w:r w:rsidR="00CD2312" w:rsidRPr="00F97984">
        <w:rPr>
          <w:rFonts w:ascii="Helvetica" w:hAnsi="Helvetica" w:cs="Helvetica"/>
        </w:rPr>
        <w:t>fra 1963</w:t>
      </w:r>
      <w:r w:rsidR="00C16B6A">
        <w:rPr>
          <w:rFonts w:ascii="Helvetica" w:hAnsi="Helvetica" w:cs="Helvetica"/>
        </w:rPr>
        <w:t>-</w:t>
      </w:r>
      <w:r w:rsidR="00C16B6A" w:rsidRPr="00F00D29">
        <w:rPr>
          <w:rFonts w:ascii="Helvetica" w:hAnsi="Helvetica" w:cs="Helvetica"/>
        </w:rPr>
        <w:t>1965</w:t>
      </w:r>
      <w:r w:rsidR="00984DDC" w:rsidRPr="00F00D29">
        <w:rPr>
          <w:rFonts w:ascii="Helvetica" w:hAnsi="Helvetica" w:cs="Helvetica"/>
        </w:rPr>
        <w:t>, som har genereret indtægter i 201</w:t>
      </w:r>
      <w:r w:rsidR="00C16B6A" w:rsidRPr="00F00D29">
        <w:rPr>
          <w:rFonts w:ascii="Helvetica" w:hAnsi="Helvetica" w:cs="Helvetica"/>
        </w:rPr>
        <w:t>6</w:t>
      </w:r>
      <w:r w:rsidR="00984DDC" w:rsidRPr="00F00D29">
        <w:rPr>
          <w:rFonts w:ascii="Helvetica" w:hAnsi="Helvetica" w:cs="Helvetica"/>
        </w:rPr>
        <w:t>.</w:t>
      </w:r>
      <w:r w:rsidR="00FA4972" w:rsidRPr="00F00D29">
        <w:rPr>
          <w:rFonts w:ascii="Helvetica" w:hAnsi="Helvetica" w:cs="Helvetica"/>
        </w:rPr>
        <w:t xml:space="preserve"> </w:t>
      </w:r>
      <w:r w:rsidR="00763AFB" w:rsidRPr="00F00D29">
        <w:rPr>
          <w:rFonts w:ascii="Helvetica" w:hAnsi="Helvetica" w:cs="Helvetica"/>
        </w:rPr>
        <w:t>Listen</w:t>
      </w:r>
      <w:r w:rsidR="00763AFB" w:rsidRPr="00F97984">
        <w:rPr>
          <w:rFonts w:ascii="Helvetica" w:hAnsi="Helvetica" w:cs="Helvetica"/>
        </w:rPr>
        <w:t xml:space="preserve"> kommer til at ligge på Gramex’ hjemmeside. Der vil være en oversigt, som kan bladres igennem, samt søgemulighed på de mest relevante felter (hovedartist, </w:t>
      </w:r>
      <w:r w:rsidR="00F00D29" w:rsidRPr="00F97984">
        <w:rPr>
          <w:rFonts w:ascii="Helvetica" w:hAnsi="Helvetica" w:cs="Helvetica"/>
        </w:rPr>
        <w:t>track titel</w:t>
      </w:r>
      <w:r w:rsidR="00763AFB" w:rsidRPr="00F97984">
        <w:rPr>
          <w:rFonts w:ascii="Helvetica" w:hAnsi="Helvetica" w:cs="Helvetica"/>
        </w:rPr>
        <w:t>, albumtitel</w:t>
      </w:r>
      <w:r w:rsidR="008B54DD" w:rsidRPr="00F97984">
        <w:rPr>
          <w:rFonts w:ascii="Helvetica" w:hAnsi="Helvetica" w:cs="Helvetica"/>
        </w:rPr>
        <w:t>, medvirkende på engangshonorar</w:t>
      </w:r>
      <w:r w:rsidR="00763AFB" w:rsidRPr="00F97984">
        <w:rPr>
          <w:rFonts w:ascii="Helvetica" w:hAnsi="Helvetica" w:cs="Helvetica"/>
        </w:rPr>
        <w:t xml:space="preserve"> etc.)</w:t>
      </w:r>
      <w:r w:rsidR="001A7639" w:rsidRPr="00F97984">
        <w:rPr>
          <w:rFonts w:ascii="Helvetica" w:hAnsi="Helvetica" w:cs="Helvetica"/>
        </w:rPr>
        <w:t>.</w:t>
      </w:r>
      <w:r w:rsidR="003B142F" w:rsidRPr="00F97984">
        <w:rPr>
          <w:rFonts w:ascii="Helvetica" w:hAnsi="Helvetica" w:cs="Helvetica"/>
        </w:rPr>
        <w:t xml:space="preserve"> </w:t>
      </w:r>
    </w:p>
    <w:p w:rsidR="001B4B06" w:rsidRDefault="001B4B06">
      <w:pPr>
        <w:ind w:left="360"/>
        <w:rPr>
          <w:rFonts w:ascii="Helvetica" w:hAnsi="Helvetica" w:cs="Helvetica"/>
        </w:rPr>
      </w:pPr>
    </w:p>
    <w:p w:rsidR="001B4B06" w:rsidRDefault="00763AFB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Rettighedshavere</w:t>
      </w:r>
      <w:r w:rsidR="000A6F41" w:rsidRPr="00F97984">
        <w:rPr>
          <w:rFonts w:ascii="Helvetica" w:hAnsi="Helvetica" w:cs="Helvetica"/>
        </w:rPr>
        <w:t>, der ikke er registrere</w:t>
      </w:r>
      <w:r w:rsidR="00991397">
        <w:rPr>
          <w:rFonts w:ascii="Helvetica" w:hAnsi="Helvetica" w:cs="Helvetica"/>
        </w:rPr>
        <w:t>t i Gramex’ system</w:t>
      </w:r>
      <w:r w:rsidR="000A6F41" w:rsidRPr="00F97984">
        <w:rPr>
          <w:rFonts w:ascii="Helvetica" w:hAnsi="Helvetica" w:cs="Helvetica"/>
        </w:rPr>
        <w:t>,</w:t>
      </w:r>
      <w:r w:rsidRPr="00F97984">
        <w:rPr>
          <w:rFonts w:ascii="Helvetica" w:hAnsi="Helvetica" w:cs="Helvetica"/>
        </w:rPr>
        <w:t xml:space="preserve"> kan </w:t>
      </w:r>
      <w:r w:rsidR="006831E7" w:rsidRPr="00F97984">
        <w:rPr>
          <w:rFonts w:ascii="Helvetica" w:hAnsi="Helvetica" w:cs="Helvetica"/>
        </w:rPr>
        <w:t xml:space="preserve">herefter </w:t>
      </w:r>
      <w:r w:rsidRPr="00F97984">
        <w:rPr>
          <w:rFonts w:ascii="Helvetica" w:hAnsi="Helvetica" w:cs="Helvetica"/>
        </w:rPr>
        <w:t>ved direkte henvendelse til Gramex claime rettigheder til de trac</w:t>
      </w:r>
      <w:r w:rsidR="006831E7" w:rsidRPr="00F97984">
        <w:rPr>
          <w:rFonts w:ascii="Helvetica" w:hAnsi="Helvetica" w:cs="Helvetica"/>
        </w:rPr>
        <w:t>ks, de ha</w:t>
      </w:r>
      <w:r w:rsidR="0020087C">
        <w:rPr>
          <w:rFonts w:ascii="Helvetica" w:hAnsi="Helvetica" w:cs="Helvetica"/>
        </w:rPr>
        <w:t>r</w:t>
      </w:r>
      <w:r w:rsidR="006831E7" w:rsidRPr="00F97984">
        <w:rPr>
          <w:rFonts w:ascii="Helvetica" w:hAnsi="Helvetica" w:cs="Helvetica"/>
        </w:rPr>
        <w:t xml:space="preserve"> medvirket på</w:t>
      </w:r>
      <w:r w:rsidR="000A6F41" w:rsidRPr="00F97984">
        <w:rPr>
          <w:rFonts w:ascii="Helvetica" w:hAnsi="Helvetica" w:cs="Helvetica"/>
        </w:rPr>
        <w:t>.</w:t>
      </w:r>
      <w:r w:rsidR="006831E7" w:rsidRPr="00F97984">
        <w:rPr>
          <w:rFonts w:ascii="Helvetica" w:hAnsi="Helvetica" w:cs="Helvetica"/>
        </w:rPr>
        <w:t xml:space="preserve"> Gramex forestår </w:t>
      </w:r>
      <w:r w:rsidR="000A6F41" w:rsidRPr="00F97984">
        <w:rPr>
          <w:rFonts w:ascii="Helvetica" w:hAnsi="Helvetica" w:cs="Helvetica"/>
        </w:rPr>
        <w:t xml:space="preserve">herefter </w:t>
      </w:r>
      <w:r w:rsidR="006831E7" w:rsidRPr="00F97984">
        <w:rPr>
          <w:rFonts w:ascii="Helvetica" w:hAnsi="Helvetica" w:cs="Helvetica"/>
        </w:rPr>
        <w:t>individuel fordeling af midlerne</w:t>
      </w:r>
      <w:r w:rsidR="000A6F41" w:rsidRPr="00F97984">
        <w:rPr>
          <w:rFonts w:ascii="Helvetica" w:hAnsi="Helvetica" w:cs="Helvetica"/>
        </w:rPr>
        <w:t xml:space="preserve"> i året efter optjeningsåret</w:t>
      </w:r>
      <w:r w:rsidR="006831E7" w:rsidRPr="00F97984">
        <w:rPr>
          <w:rFonts w:ascii="Helvetica" w:hAnsi="Helvetica" w:cs="Helvetica"/>
        </w:rPr>
        <w:t>.</w:t>
      </w:r>
    </w:p>
    <w:p w:rsidR="001B4B06" w:rsidRDefault="001B4B06">
      <w:pPr>
        <w:pStyle w:val="Listeafsnit"/>
        <w:ind w:left="792"/>
        <w:rPr>
          <w:rFonts w:ascii="Helvetica" w:hAnsi="Helvetica" w:cs="Helvetica"/>
        </w:rPr>
      </w:pPr>
    </w:p>
    <w:p w:rsidR="001B4B06" w:rsidRDefault="00BD42B6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 w:rsidRPr="00F97984">
        <w:rPr>
          <w:rFonts w:ascii="Helvetica" w:hAnsi="Helvetica" w:cs="Helvetica"/>
          <w:b/>
        </w:rPr>
        <w:t>Hv</w:t>
      </w:r>
      <w:r w:rsidR="0020087C">
        <w:rPr>
          <w:rFonts w:ascii="Helvetica" w:hAnsi="Helvetica" w:cs="Helvetica"/>
          <w:b/>
        </w:rPr>
        <w:t xml:space="preserve">ad gør kunstnerne? </w:t>
      </w:r>
    </w:p>
    <w:p w:rsidR="001B4B06" w:rsidRDefault="00AE6A4C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 xml:space="preserve">Når oversigten over tracks </w:t>
      </w:r>
      <w:r w:rsidR="00C16B6A">
        <w:rPr>
          <w:rFonts w:ascii="Helvetica" w:hAnsi="Helvetica" w:cs="Helvetica"/>
        </w:rPr>
        <w:t>fra 1963-19</w:t>
      </w:r>
      <w:r w:rsidR="00C16B6A" w:rsidRPr="00F00D29">
        <w:rPr>
          <w:rFonts w:ascii="Helvetica" w:hAnsi="Helvetica" w:cs="Helvetica"/>
        </w:rPr>
        <w:t>65</w:t>
      </w:r>
      <w:r w:rsidR="00B02009">
        <w:rPr>
          <w:rFonts w:ascii="Helvetica" w:hAnsi="Helvetica" w:cs="Helvetica"/>
        </w:rPr>
        <w:t xml:space="preserve"> </w:t>
      </w:r>
      <w:r w:rsidRPr="00F97984">
        <w:rPr>
          <w:rFonts w:ascii="Helvetica" w:hAnsi="Helvetica" w:cs="Helvetica"/>
        </w:rPr>
        <w:t>offentliggøres på Gramex’ hjemmeside, kan kunstnere</w:t>
      </w:r>
      <w:r w:rsidR="0020087C">
        <w:rPr>
          <w:rFonts w:ascii="Helvetica" w:hAnsi="Helvetica" w:cs="Helvetica"/>
        </w:rPr>
        <w:t>,</w:t>
      </w:r>
      <w:r w:rsidRPr="00F97984">
        <w:rPr>
          <w:rFonts w:ascii="Helvetica" w:hAnsi="Helvetica" w:cs="Helvetica"/>
        </w:rPr>
        <w:t xml:space="preserve"> som har medvirket på optagelserne</w:t>
      </w:r>
      <w:r w:rsidR="0020087C">
        <w:rPr>
          <w:rFonts w:ascii="Helvetica" w:hAnsi="Helvetica" w:cs="Helvetica"/>
        </w:rPr>
        <w:t>,</w:t>
      </w:r>
      <w:r w:rsidRPr="00F97984">
        <w:rPr>
          <w:rFonts w:ascii="Helvetica" w:hAnsi="Helvetica" w:cs="Helvetica"/>
        </w:rPr>
        <w:t xml:space="preserve"> gøre krav på vederlag</w:t>
      </w:r>
      <w:r w:rsidR="0020087C">
        <w:rPr>
          <w:rFonts w:ascii="Helvetica" w:hAnsi="Helvetica" w:cs="Helvetica"/>
        </w:rPr>
        <w:t>.</w:t>
      </w:r>
      <w:r w:rsidR="006831E7" w:rsidRPr="00F97984">
        <w:rPr>
          <w:rFonts w:ascii="Helvetica" w:hAnsi="Helvetica" w:cs="Helvetica"/>
        </w:rPr>
        <w:t xml:space="preserve"> </w:t>
      </w:r>
    </w:p>
    <w:p w:rsidR="001B4B06" w:rsidRDefault="001B4B06">
      <w:pPr>
        <w:ind w:left="360"/>
        <w:rPr>
          <w:rFonts w:ascii="Helvetica" w:hAnsi="Helvetica" w:cs="Helvetica"/>
        </w:rPr>
      </w:pPr>
    </w:p>
    <w:p w:rsidR="001B4B06" w:rsidRDefault="00FE1440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>C</w:t>
      </w:r>
      <w:r w:rsidR="006831E7" w:rsidRPr="00F97984">
        <w:rPr>
          <w:rFonts w:ascii="Helvetica" w:hAnsi="Helvetica" w:cs="Helvetica"/>
        </w:rPr>
        <w:t>laims skal så vidt mulig</w:t>
      </w:r>
      <w:r w:rsidR="001946B5" w:rsidRPr="00F97984">
        <w:rPr>
          <w:rFonts w:ascii="Helvetica" w:hAnsi="Helvetica" w:cs="Helvetica"/>
        </w:rPr>
        <w:t>t</w:t>
      </w:r>
      <w:r w:rsidR="006831E7" w:rsidRPr="00F97984">
        <w:rPr>
          <w:rFonts w:ascii="Helvetica" w:hAnsi="Helvetica" w:cs="Helvetica"/>
        </w:rPr>
        <w:t xml:space="preserve"> kunne dokumenteres. </w:t>
      </w:r>
      <w:r w:rsidR="005D06AA" w:rsidRPr="00F97984">
        <w:rPr>
          <w:rFonts w:ascii="Helvetica" w:hAnsi="Helvetica" w:cs="Helvetica"/>
        </w:rPr>
        <w:t xml:space="preserve">Nærmere </w:t>
      </w:r>
      <w:r w:rsidR="0020087C">
        <w:rPr>
          <w:rFonts w:ascii="Helvetica" w:hAnsi="Helvetica" w:cs="Helvetica"/>
        </w:rPr>
        <w:t>information</w:t>
      </w:r>
      <w:r w:rsidR="005D06AA" w:rsidRPr="00F97984">
        <w:rPr>
          <w:rFonts w:ascii="Helvetica" w:hAnsi="Helvetica" w:cs="Helvetica"/>
        </w:rPr>
        <w:t xml:space="preserve"> vil blive lagt på </w:t>
      </w:r>
      <w:r w:rsidR="006831E7" w:rsidRPr="00F97984">
        <w:rPr>
          <w:rFonts w:ascii="Helvetica" w:hAnsi="Helvetica" w:cs="Helvetica"/>
        </w:rPr>
        <w:t>Gramex’ hjemmeside</w:t>
      </w:r>
      <w:r w:rsidRPr="00F97984">
        <w:rPr>
          <w:rFonts w:ascii="Helvetica" w:hAnsi="Helvetica" w:cs="Helvetica"/>
        </w:rPr>
        <w:t xml:space="preserve"> </w:t>
      </w:r>
      <w:hyperlink r:id="rId8" w:history="1">
        <w:r w:rsidR="005872AA" w:rsidRPr="00F25032">
          <w:rPr>
            <w:rStyle w:val="Hyperlink"/>
            <w:rFonts w:ascii="Helvetica" w:hAnsi="Helvetica" w:cs="Helvetica"/>
          </w:rPr>
          <w:t>www.gramex.dk/om-gramex/20-pct</w:t>
        </w:r>
      </w:hyperlink>
      <w:r w:rsidR="006831E7" w:rsidRPr="00F97984">
        <w:rPr>
          <w:rFonts w:ascii="Helvetica" w:hAnsi="Helvetica" w:cs="Helvetica"/>
        </w:rPr>
        <w:t>.</w:t>
      </w:r>
    </w:p>
    <w:p w:rsidR="001B4B06" w:rsidRDefault="001B4B06">
      <w:pPr>
        <w:ind w:left="360"/>
        <w:rPr>
          <w:rFonts w:ascii="Helvetica" w:hAnsi="Helvetica" w:cs="Helvetica"/>
        </w:rPr>
      </w:pPr>
    </w:p>
    <w:p w:rsidR="001B4B06" w:rsidRDefault="00C026A2">
      <w:pPr>
        <w:ind w:left="360"/>
        <w:rPr>
          <w:rFonts w:ascii="Helvetica" w:hAnsi="Helvetica" w:cs="Helvetica"/>
        </w:rPr>
      </w:pPr>
      <w:r w:rsidRPr="00F97984">
        <w:rPr>
          <w:rFonts w:ascii="Helvetica" w:hAnsi="Helvetica" w:cs="Helvetica"/>
        </w:rPr>
        <w:t xml:space="preserve">Claims, der </w:t>
      </w:r>
      <w:r w:rsidR="001946B5" w:rsidRPr="00F97984">
        <w:rPr>
          <w:rFonts w:ascii="Helvetica" w:hAnsi="Helvetica" w:cs="Helvetica"/>
        </w:rPr>
        <w:t>modtages</w:t>
      </w:r>
      <w:r w:rsidRPr="00F97984">
        <w:rPr>
          <w:rFonts w:ascii="Helvetica" w:hAnsi="Helvetica" w:cs="Helvetica"/>
        </w:rPr>
        <w:t xml:space="preserve"> </w:t>
      </w:r>
      <w:r w:rsidRPr="00F97984">
        <w:rPr>
          <w:rFonts w:ascii="Helvetica" w:hAnsi="Helvetica" w:cs="Helvetica"/>
          <w:b/>
        </w:rPr>
        <w:t xml:space="preserve">inden </w:t>
      </w:r>
      <w:r w:rsidRPr="00F97984">
        <w:rPr>
          <w:rFonts w:ascii="Helvetica" w:hAnsi="Helvetica" w:cs="Helvetica"/>
        </w:rPr>
        <w:t>fristens udløb, bliver taget med i den førstkommende fordeling.</w:t>
      </w:r>
      <w:r w:rsidR="00FE1440" w:rsidRPr="00F97984">
        <w:rPr>
          <w:rFonts w:ascii="Helvetica" w:hAnsi="Helvetica" w:cs="Helvetica"/>
        </w:rPr>
        <w:t xml:space="preserve"> </w:t>
      </w:r>
      <w:r w:rsidRPr="00F97984">
        <w:rPr>
          <w:rFonts w:ascii="Helvetica" w:hAnsi="Helvetica" w:cs="Helvetica"/>
        </w:rPr>
        <w:t xml:space="preserve">Claims, der </w:t>
      </w:r>
      <w:r w:rsidR="001946B5" w:rsidRPr="00F97984">
        <w:rPr>
          <w:rFonts w:ascii="Helvetica" w:hAnsi="Helvetica" w:cs="Helvetica"/>
        </w:rPr>
        <w:t>modtages</w:t>
      </w:r>
      <w:r w:rsidRPr="00F97984">
        <w:rPr>
          <w:rFonts w:ascii="Helvetica" w:hAnsi="Helvetica" w:cs="Helvetica"/>
        </w:rPr>
        <w:t xml:space="preserve"> </w:t>
      </w:r>
      <w:r w:rsidRPr="00F97984">
        <w:rPr>
          <w:rFonts w:ascii="Helvetica" w:hAnsi="Helvetica" w:cs="Helvetica"/>
          <w:b/>
        </w:rPr>
        <w:t>efter</w:t>
      </w:r>
      <w:r w:rsidRPr="00F97984">
        <w:rPr>
          <w:rFonts w:ascii="Helvetica" w:hAnsi="Helvetica" w:cs="Helvetica"/>
        </w:rPr>
        <w:t xml:space="preserve"> fristens udløb, vil </w:t>
      </w:r>
      <w:r w:rsidR="00C16B6A">
        <w:rPr>
          <w:rFonts w:ascii="Helvetica" w:hAnsi="Helvetica" w:cs="Helvetica"/>
        </w:rPr>
        <w:t xml:space="preserve">formentlig </w:t>
      </w:r>
      <w:r w:rsidRPr="00F97984">
        <w:rPr>
          <w:rFonts w:ascii="Helvetica" w:hAnsi="Helvetica" w:cs="Helvetica"/>
        </w:rPr>
        <w:t>først blive taget med i fordeling</w:t>
      </w:r>
      <w:r w:rsidR="00FA4972" w:rsidRPr="00F97984">
        <w:rPr>
          <w:rFonts w:ascii="Helvetica" w:hAnsi="Helvetica" w:cs="Helvetica"/>
        </w:rPr>
        <w:t>erne</w:t>
      </w:r>
      <w:r w:rsidRPr="00F97984">
        <w:rPr>
          <w:rFonts w:ascii="Helvetica" w:hAnsi="Helvetica" w:cs="Helvetica"/>
        </w:rPr>
        <w:t xml:space="preserve"> for </w:t>
      </w:r>
      <w:r w:rsidR="00C16B6A">
        <w:rPr>
          <w:rFonts w:ascii="Helvetica" w:hAnsi="Helvetica" w:cs="Helvetica"/>
        </w:rPr>
        <w:t xml:space="preserve">det </w:t>
      </w:r>
      <w:r w:rsidRPr="00F97984">
        <w:rPr>
          <w:rFonts w:ascii="Helvetica" w:hAnsi="Helvetica" w:cs="Helvetica"/>
        </w:rPr>
        <w:t>efterfølgende år.</w:t>
      </w:r>
    </w:p>
    <w:p w:rsidR="001B4B06" w:rsidRDefault="001B4B06">
      <w:pPr>
        <w:ind w:left="360"/>
        <w:rPr>
          <w:rFonts w:ascii="Helvetica" w:hAnsi="Helvetica" w:cs="Helvetica"/>
        </w:rPr>
      </w:pPr>
    </w:p>
    <w:p w:rsidR="001B4B06" w:rsidRDefault="00692C8C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Læs mere</w:t>
      </w:r>
    </w:p>
    <w:p w:rsidR="001B4B06" w:rsidRDefault="00692C8C">
      <w:pPr>
        <w:ind w:left="360"/>
      </w:pPr>
      <w:r>
        <w:rPr>
          <w:rFonts w:ascii="Helvetica" w:hAnsi="Helvetica" w:cs="Helvetica"/>
        </w:rPr>
        <w:t>Information og FAQ om 20 pct.</w:t>
      </w:r>
      <w:r w:rsidR="0083672A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puljen vil løbende blive opdateret på Gramex’ hjemmeside: </w:t>
      </w:r>
      <w:hyperlink r:id="rId9" w:history="1">
        <w:r w:rsidR="004C5E26" w:rsidRPr="00F25032">
          <w:rPr>
            <w:rStyle w:val="Hyperlink"/>
            <w:rFonts w:ascii="Helvetica" w:hAnsi="Helvetica" w:cs="Helvetica"/>
          </w:rPr>
          <w:t>www.gramex.dk/om-gramex/20-pct</w:t>
        </w:r>
      </w:hyperlink>
      <w:r>
        <w:t>.</w:t>
      </w:r>
    </w:p>
    <w:p w:rsidR="001B4B06" w:rsidRDefault="001B4B06">
      <w:pPr>
        <w:ind w:left="360"/>
      </w:pPr>
    </w:p>
    <w:p w:rsidR="001B4B06" w:rsidRDefault="00692C8C">
      <w:pPr>
        <w:pStyle w:val="Listeafsnit"/>
        <w:numPr>
          <w:ilvl w:val="0"/>
          <w:numId w:val="3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Spørgsmål</w:t>
      </w:r>
    </w:p>
    <w:p w:rsidR="001B4B06" w:rsidRDefault="00692C8C">
      <w:pPr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For yderligere information eller spørgsmål til 20 pct.</w:t>
      </w:r>
      <w:r w:rsidR="0083672A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puljen, kan I kontakte Gramex på telefon </w:t>
      </w:r>
      <w:r w:rsidRPr="00F97984">
        <w:rPr>
          <w:rFonts w:ascii="Helvetica" w:hAnsi="Helvetica" w:cs="Helvetica"/>
        </w:rPr>
        <w:t xml:space="preserve">33 85 32 </w:t>
      </w:r>
      <w:r w:rsidR="005872AA">
        <w:rPr>
          <w:rFonts w:ascii="Helvetica" w:hAnsi="Helvetica" w:cs="Helvetica"/>
        </w:rPr>
        <w:t>43</w:t>
      </w:r>
      <w:r w:rsidRPr="00F97984">
        <w:rPr>
          <w:rFonts w:ascii="Helvetica" w:hAnsi="Helvetica" w:cs="Helvetica"/>
        </w:rPr>
        <w:t xml:space="preserve"> eller </w:t>
      </w:r>
      <w:hyperlink r:id="rId10" w:history="1">
        <w:r w:rsidRPr="00F97984">
          <w:rPr>
            <w:rStyle w:val="Hyperlink"/>
            <w:rFonts w:ascii="Helvetica" w:hAnsi="Helvetica" w:cs="Helvetica"/>
          </w:rPr>
          <w:t>20pct@gramex.dk</w:t>
        </w:r>
      </w:hyperlink>
      <w:r w:rsidRPr="00F97984">
        <w:rPr>
          <w:rFonts w:ascii="Helvetica" w:hAnsi="Helvetica" w:cs="Helvetica"/>
        </w:rPr>
        <w:t>.</w:t>
      </w:r>
    </w:p>
    <w:p w:rsidR="001B4B06" w:rsidRDefault="001B4B06">
      <w:pPr>
        <w:pStyle w:val="Listeafsnit"/>
        <w:ind w:left="792"/>
        <w:rPr>
          <w:rFonts w:ascii="Helvetica" w:hAnsi="Helvetica" w:cs="Helvetica"/>
        </w:rPr>
      </w:pPr>
    </w:p>
    <w:p w:rsidR="001B4B06" w:rsidRDefault="001B4B06">
      <w:pPr>
        <w:rPr>
          <w:rFonts w:ascii="Helvetica" w:hAnsi="Helvetica" w:cs="Helvetica"/>
        </w:rPr>
      </w:pPr>
    </w:p>
    <w:sectPr w:rsidR="001B4B06" w:rsidSect="00334BA4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42" w:rsidRDefault="00C91442" w:rsidP="001C4DB2">
      <w:pPr>
        <w:spacing w:line="240" w:lineRule="auto"/>
      </w:pPr>
      <w:r>
        <w:separator/>
      </w:r>
    </w:p>
  </w:endnote>
  <w:endnote w:type="continuationSeparator" w:id="0">
    <w:p w:rsidR="00C91442" w:rsidRDefault="00C91442" w:rsidP="001C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89648"/>
      <w:docPartObj>
        <w:docPartGallery w:val="Page Numbers (Bottom of Page)"/>
        <w:docPartUnique/>
      </w:docPartObj>
    </w:sdtPr>
    <w:sdtEndPr/>
    <w:sdtContent>
      <w:p w:rsidR="00C91442" w:rsidRDefault="00991397">
        <w:pPr>
          <w:pStyle w:val="Sidefod"/>
          <w:jc w:val="center"/>
        </w:pPr>
        <w:r>
          <w:rPr>
            <w:noProof/>
            <w:lang w:eastAsia="da-DK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5474970</wp:posOffset>
              </wp:positionH>
              <wp:positionV relativeFrom="paragraph">
                <wp:posOffset>-269875</wp:posOffset>
              </wp:positionV>
              <wp:extent cx="1066800" cy="828675"/>
              <wp:effectExtent l="19050" t="0" r="0" b="0"/>
              <wp:wrapThrough wrapText="bothSides">
                <wp:wrapPolygon edited="0">
                  <wp:start x="3086" y="0"/>
                  <wp:lineTo x="3086" y="7945"/>
                  <wp:lineTo x="771" y="12414"/>
                  <wp:lineTo x="-386" y="21352"/>
                  <wp:lineTo x="13500" y="21352"/>
                  <wp:lineTo x="12729" y="16386"/>
                  <wp:lineTo x="12729" y="15890"/>
                  <wp:lineTo x="19671" y="15890"/>
                  <wp:lineTo x="21600" y="14400"/>
                  <wp:lineTo x="21600" y="4469"/>
                  <wp:lineTo x="13114" y="0"/>
                  <wp:lineTo x="6171" y="0"/>
                  <wp:lineTo x="3086" y="0"/>
                </wp:wrapPolygon>
              </wp:wrapThrough>
              <wp:docPr id="3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 w:rsidR="004074A8">
          <w:fldChar w:fldCharType="begin"/>
        </w:r>
        <w:r w:rsidR="004074A8">
          <w:instrText xml:space="preserve"> PAGE   \* MERGEFORMAT </w:instrText>
        </w:r>
        <w:r w:rsidR="004074A8">
          <w:fldChar w:fldCharType="separate"/>
        </w:r>
        <w:r w:rsidR="00F00D29">
          <w:rPr>
            <w:noProof/>
          </w:rPr>
          <w:t>2</w:t>
        </w:r>
        <w:r w:rsidR="004074A8">
          <w:rPr>
            <w:noProof/>
          </w:rPr>
          <w:fldChar w:fldCharType="end"/>
        </w:r>
      </w:p>
    </w:sdtContent>
  </w:sdt>
  <w:p w:rsidR="00C91442" w:rsidRDefault="00C914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42" w:rsidRDefault="00C91442" w:rsidP="001C4DB2">
      <w:pPr>
        <w:spacing w:line="240" w:lineRule="auto"/>
      </w:pPr>
      <w:r>
        <w:separator/>
      </w:r>
    </w:p>
  </w:footnote>
  <w:footnote w:type="continuationSeparator" w:id="0">
    <w:p w:rsidR="00C91442" w:rsidRDefault="00C91442" w:rsidP="001C4DB2">
      <w:pPr>
        <w:spacing w:line="240" w:lineRule="auto"/>
      </w:pPr>
      <w:r>
        <w:continuationSeparator/>
      </w:r>
    </w:p>
  </w:footnote>
  <w:footnote w:id="1">
    <w:p w:rsidR="00BE7022" w:rsidRDefault="00BE7022" w:rsidP="00BE702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DD124A">
          <w:rPr>
            <w:rStyle w:val="Hyperlink"/>
          </w:rPr>
          <w:t>https://www.retsinformation.dk/Forms/r0710.aspx?id=146356</w:t>
        </w:r>
      </w:hyperlink>
    </w:p>
  </w:footnote>
  <w:footnote w:id="2">
    <w:p w:rsidR="00C91442" w:rsidRDefault="00C91442">
      <w:pPr>
        <w:pStyle w:val="Fodnotetekst"/>
      </w:pPr>
      <w:r>
        <w:rPr>
          <w:rStyle w:val="Fodnotehenvisning"/>
        </w:rPr>
        <w:footnoteRef/>
      </w:r>
      <w:r>
        <w:t xml:space="preserve"> Dog ikke hvis der er tale om tracks udelukkende med kor, ensembler eller orkestre i ansættelsesforhold.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42" w:rsidRDefault="00C914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3792511</wp:posOffset>
          </wp:positionH>
          <wp:positionV relativeFrom="paragraph">
            <wp:posOffset>-129540</wp:posOffset>
          </wp:positionV>
          <wp:extent cx="2284439" cy="586740"/>
          <wp:effectExtent l="19050" t="0" r="1561" b="0"/>
          <wp:wrapNone/>
          <wp:docPr id="1" name="Billede 1" descr="gramex_bomaerke_navnetraek_payoff_VAND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gramex_bomaerke_navnetraek_payoff_VANDR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39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1442" w:rsidRDefault="00C914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1"/>
    <w:multiLevelType w:val="multilevel"/>
    <w:tmpl w:val="F3629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8A4A5E"/>
    <w:multiLevelType w:val="hybridMultilevel"/>
    <w:tmpl w:val="46DA69A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F4E2E"/>
    <w:multiLevelType w:val="multilevel"/>
    <w:tmpl w:val="2CBC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AA7988"/>
    <w:multiLevelType w:val="hybridMultilevel"/>
    <w:tmpl w:val="697082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43C7"/>
    <w:multiLevelType w:val="multilevel"/>
    <w:tmpl w:val="040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8EE5D60"/>
    <w:multiLevelType w:val="hybridMultilevel"/>
    <w:tmpl w:val="7B365740"/>
    <w:lvl w:ilvl="0" w:tplc="8B34BB28">
      <w:start w:val="2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4D75570"/>
    <w:multiLevelType w:val="hybridMultilevel"/>
    <w:tmpl w:val="A61E57CA"/>
    <w:lvl w:ilvl="0" w:tplc="0A46943E">
      <w:start w:val="2"/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60A20B6"/>
    <w:multiLevelType w:val="multilevel"/>
    <w:tmpl w:val="F3629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164989"/>
    <w:multiLevelType w:val="hybridMultilevel"/>
    <w:tmpl w:val="B016D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122F0"/>
    <w:multiLevelType w:val="hybridMultilevel"/>
    <w:tmpl w:val="20163196"/>
    <w:lvl w:ilvl="0" w:tplc="C5D27B56">
      <w:start w:val="2"/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56F8382C"/>
    <w:multiLevelType w:val="hybridMultilevel"/>
    <w:tmpl w:val="153AD0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5593E"/>
    <w:multiLevelType w:val="hybridMultilevel"/>
    <w:tmpl w:val="0220C3D6"/>
    <w:lvl w:ilvl="0" w:tplc="28A48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4ADD"/>
    <w:multiLevelType w:val="hybridMultilevel"/>
    <w:tmpl w:val="D0CA958C"/>
    <w:lvl w:ilvl="0" w:tplc="8B34BB28">
      <w:start w:val="2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D42539C"/>
    <w:multiLevelType w:val="hybridMultilevel"/>
    <w:tmpl w:val="79EE3B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78"/>
    <w:rsid w:val="00024FD7"/>
    <w:rsid w:val="00040A38"/>
    <w:rsid w:val="000A6F41"/>
    <w:rsid w:val="000B68CE"/>
    <w:rsid w:val="000B6AF2"/>
    <w:rsid w:val="000D259A"/>
    <w:rsid w:val="000D6785"/>
    <w:rsid w:val="000F5645"/>
    <w:rsid w:val="001946B5"/>
    <w:rsid w:val="001A7639"/>
    <w:rsid w:val="001B4B06"/>
    <w:rsid w:val="001C4DB2"/>
    <w:rsid w:val="001F53ED"/>
    <w:rsid w:val="0020087C"/>
    <w:rsid w:val="002200FE"/>
    <w:rsid w:val="0023454B"/>
    <w:rsid w:val="0024399C"/>
    <w:rsid w:val="00270166"/>
    <w:rsid w:val="002839A9"/>
    <w:rsid w:val="002911D8"/>
    <w:rsid w:val="00293CDF"/>
    <w:rsid w:val="002A0223"/>
    <w:rsid w:val="002A786C"/>
    <w:rsid w:val="002C2AE3"/>
    <w:rsid w:val="002C784E"/>
    <w:rsid w:val="002D7C37"/>
    <w:rsid w:val="002E140B"/>
    <w:rsid w:val="002E5F93"/>
    <w:rsid w:val="00303DB0"/>
    <w:rsid w:val="00334BA4"/>
    <w:rsid w:val="003571DC"/>
    <w:rsid w:val="003603A3"/>
    <w:rsid w:val="00366355"/>
    <w:rsid w:val="00377349"/>
    <w:rsid w:val="003A2B40"/>
    <w:rsid w:val="003B142F"/>
    <w:rsid w:val="004074A8"/>
    <w:rsid w:val="00464D1A"/>
    <w:rsid w:val="00467571"/>
    <w:rsid w:val="004C5E26"/>
    <w:rsid w:val="004F749D"/>
    <w:rsid w:val="005872AA"/>
    <w:rsid w:val="005A74E9"/>
    <w:rsid w:val="005B5F9B"/>
    <w:rsid w:val="005B7D83"/>
    <w:rsid w:val="005C5378"/>
    <w:rsid w:val="005D06AA"/>
    <w:rsid w:val="005F24BC"/>
    <w:rsid w:val="005F398D"/>
    <w:rsid w:val="00635906"/>
    <w:rsid w:val="006723F8"/>
    <w:rsid w:val="00672A7C"/>
    <w:rsid w:val="00681896"/>
    <w:rsid w:val="006831E7"/>
    <w:rsid w:val="00692C8C"/>
    <w:rsid w:val="006D5A6D"/>
    <w:rsid w:val="00737A7E"/>
    <w:rsid w:val="00763AFB"/>
    <w:rsid w:val="00793CDF"/>
    <w:rsid w:val="0083672A"/>
    <w:rsid w:val="00837AC4"/>
    <w:rsid w:val="0088186F"/>
    <w:rsid w:val="00882809"/>
    <w:rsid w:val="00886638"/>
    <w:rsid w:val="00887F13"/>
    <w:rsid w:val="008B54DD"/>
    <w:rsid w:val="008C39E3"/>
    <w:rsid w:val="008F2471"/>
    <w:rsid w:val="0094618D"/>
    <w:rsid w:val="0094709B"/>
    <w:rsid w:val="009673D3"/>
    <w:rsid w:val="00984DDC"/>
    <w:rsid w:val="00991397"/>
    <w:rsid w:val="009B16C9"/>
    <w:rsid w:val="009D05C2"/>
    <w:rsid w:val="009E1803"/>
    <w:rsid w:val="009F6793"/>
    <w:rsid w:val="00A06E84"/>
    <w:rsid w:val="00A26B5E"/>
    <w:rsid w:val="00A855AA"/>
    <w:rsid w:val="00A86CE6"/>
    <w:rsid w:val="00AA143C"/>
    <w:rsid w:val="00AA34D8"/>
    <w:rsid w:val="00AE6A4C"/>
    <w:rsid w:val="00B02009"/>
    <w:rsid w:val="00B10446"/>
    <w:rsid w:val="00B15E16"/>
    <w:rsid w:val="00B349C4"/>
    <w:rsid w:val="00B35349"/>
    <w:rsid w:val="00B414CE"/>
    <w:rsid w:val="00B41C27"/>
    <w:rsid w:val="00B71246"/>
    <w:rsid w:val="00BA2D28"/>
    <w:rsid w:val="00BA2E2B"/>
    <w:rsid w:val="00BA4D3B"/>
    <w:rsid w:val="00BC79F7"/>
    <w:rsid w:val="00BD42B6"/>
    <w:rsid w:val="00BE0876"/>
    <w:rsid w:val="00BE7022"/>
    <w:rsid w:val="00C00B73"/>
    <w:rsid w:val="00C026A2"/>
    <w:rsid w:val="00C16B6A"/>
    <w:rsid w:val="00C43B54"/>
    <w:rsid w:val="00C91442"/>
    <w:rsid w:val="00CB1D3E"/>
    <w:rsid w:val="00CD2312"/>
    <w:rsid w:val="00CD6CE9"/>
    <w:rsid w:val="00CE4F9F"/>
    <w:rsid w:val="00CE65A1"/>
    <w:rsid w:val="00D155D4"/>
    <w:rsid w:val="00D23A7D"/>
    <w:rsid w:val="00D32CF3"/>
    <w:rsid w:val="00D368A3"/>
    <w:rsid w:val="00D5569B"/>
    <w:rsid w:val="00D67091"/>
    <w:rsid w:val="00D80DAC"/>
    <w:rsid w:val="00D96F58"/>
    <w:rsid w:val="00DA474A"/>
    <w:rsid w:val="00DB6BD2"/>
    <w:rsid w:val="00DD124A"/>
    <w:rsid w:val="00DF10B9"/>
    <w:rsid w:val="00DF19AD"/>
    <w:rsid w:val="00E36AEE"/>
    <w:rsid w:val="00E60597"/>
    <w:rsid w:val="00EA2C60"/>
    <w:rsid w:val="00F00D29"/>
    <w:rsid w:val="00F97984"/>
    <w:rsid w:val="00FA45B8"/>
    <w:rsid w:val="00FA4972"/>
    <w:rsid w:val="00FB6367"/>
    <w:rsid w:val="00FC0820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818BC8A"/>
  <w15:docId w15:val="{844DD8D2-D85A-484A-BC53-C4A773B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B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59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6793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C4DB2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C4DB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C4DB2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DD124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124A"/>
  </w:style>
  <w:style w:type="paragraph" w:styleId="Sidefod">
    <w:name w:val="footer"/>
    <w:basedOn w:val="Normal"/>
    <w:link w:val="SidefodTegn"/>
    <w:uiPriority w:val="99"/>
    <w:unhideWhenUsed/>
    <w:rsid w:val="00DD124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12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22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979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79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798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79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7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ex.dk/om-gramex/20-p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nde@gramex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ex.dk/om-gramex/20-pc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tsinformation.dk/Forms/r0710.aspx?id=1463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D19A-CB6A-4327-AFAA-6DFF91D0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Virgar Jakobsen</dc:creator>
  <cp:lastModifiedBy>Jens Virgar Jakobsen</cp:lastModifiedBy>
  <cp:revision>3</cp:revision>
  <cp:lastPrinted>2016-06-21T10:59:00Z</cp:lastPrinted>
  <dcterms:created xsi:type="dcterms:W3CDTF">2017-08-07T08:09:00Z</dcterms:created>
  <dcterms:modified xsi:type="dcterms:W3CDTF">2017-08-07T08:11:00Z</dcterms:modified>
</cp:coreProperties>
</file>